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c="http://schemas.openxmlformats.org/markup-compatibility/2006" xmlns:r="http://schemas.openxmlformats.org/officeDocument/2006/relationships" xmlns:w="http://schemas.openxmlformats.org/wordprocessingml/2006/main" xmlns:w14="http://schemas.microsoft.com/office/word/2010/wordml" mc:Ignorable="w14">
  <w:body>
    <w:p>
      <w:pPr>
        <w:spacing w:before="0" w:after="80"/>
      </w:pPr>
      <w:r>
        <w:rPr>
          <w:b/>
          <w:color w:val="1B2A4A"/>
          <w:sz w:val="36"/>
          <w:szCs w:val="36"/>
        </w:rPr>
        <w:t>Workforce Reduction and Redundancy Management Framework</w:t>
      </w:r>
    </w:p>
    <w:p>
      <w:pPr>
        <w:spacing w:after="80" w:before="0"/>
      </w:pPr>
    </w:p>
    <w:p>
      <w:pPr>
        <w:spacing w:after="100" w:before="0"/>
      </w:pPr>
      <w:r>
        <w:rPr>
          <w:i/>
          <w:iCs/>
          <w:color w:val="555555"/>
          <w:sz w:val="20"/>
          <w:szCs w:val="20"/>
        </w:rPr>
        <w:t xml:space="preserve">The business has announced a headcount reduction or you have been asked to manage one. This is the most legally and reputationally sensitive process in HR. In the UK, a redundancy process that does not follow the Employment Rights Act 1996 — on selection criteria, consultation periods, or statutory entitlements — exposes the business to employment tribunal claims, enforcement action by ACAS, and significant reputational damage. For gambling operators, a poorly managed redundancy affecting a PML or key individual holder creates the additional complication of regulatory notification obligations. This framework gives you the legally compliant process for every stage: business case, selection pool, consultation, notification, statutory payments, and post-process obligations.</w:t>
      </w:r>
    </w:p>
    <w:p>
      <w:pPr>
        <w:spacing w:after="80" w:before="0"/>
      </w:pPr>
    </w:p>
    <w:tbl>
      <w:tblPr>
        <w:tblStyle w:val="TableGrid"/>
        <w:tblW w:w="9746" w:type="dxa"/>
        <w:tblLook w:val="04A0"/>
      </w:tblPr>
      <w:tblGrid>
        <w:gridCol w:w="2268"/>
        <w:gridCol w:w="7478"/>
      </w:tblGrid>
      <w:tr>
        <w:tc>
          <w:tcPr>
            <w:tcW w:w="2268" w:type="dxa"/>
            <w:shd w:val="clear" w:color="auto" w:fill="1B2A4A"/>
            <w:tcMar>
              <w:top w:w="60" w:type="dxa"/>
              <w:left w:w="120" w:type="dxa"/>
              <w:bottom w:w="60" w:type="dxa"/>
              <w:right w:w="120" w:type="dxa"/>
            </w:tcMar>
          </w:tcPr>
          <w:p>
            <w:pPr>
              <w:spacing w:before="40" w:after="40"/>
            </w:pPr>
            <w:r>
              <w:rPr>
                <w:b/>
                <w:color w:val="FFFFFF"/>
                <w:sz w:val="18"/>
                <w:szCs w:val="18"/>
              </w:rPr>
              <w:t>Tool</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Workforce Reduction and Redundancy Management Framework</w:t>
            </w:r>
          </w:p>
        </w:tc>
      </w:tr>
      <w:tr>
        <w:tc>
          <w:tcPr>
            <w:tcW w:w="2268" w:type="dxa"/>
            <w:shd w:val="clear" w:color="auto" w:fill="1B2A4A"/>
            <w:tcMar>
              <w:top w:w="60" w:type="dxa"/>
              <w:left w:w="120" w:type="dxa"/>
              <w:bottom w:w="60" w:type="dxa"/>
              <w:right w:w="120" w:type="dxa"/>
            </w:tcMar>
          </w:tcPr>
          <w:p>
            <w:pPr>
              <w:spacing w:before="40" w:after="40"/>
            </w:pPr>
            <w:r>
              <w:rPr>
                <w:b/>
                <w:color w:val="FFFFFF"/>
                <w:sz w:val="18"/>
                <w:szCs w:val="18"/>
              </w:rPr>
              <w:t>Bundle</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Workforce Change Management Bundle</w:t>
            </w:r>
          </w:p>
        </w:tc>
      </w:tr>
      <w:tr>
        <w:tc>
          <w:tcPr>
            <w:tcW w:w="2268" w:type="dxa"/>
            <w:shd w:val="clear" w:color="auto" w:fill="1B2A4A"/>
            <w:tcMar>
              <w:top w:w="60" w:type="dxa"/>
              <w:left w:w="120" w:type="dxa"/>
              <w:bottom w:w="60" w:type="dxa"/>
              <w:right w:w="120" w:type="dxa"/>
            </w:tcMar>
          </w:tcPr>
          <w:p>
            <w:pPr>
              <w:spacing w:before="40" w:after="40"/>
            </w:pPr>
            <w:r>
              <w:rPr>
                <w:b/>
                <w:color w:val="FFFFFF"/>
                <w:sz w:val="18"/>
                <w:szCs w:val="18"/>
              </w:rPr>
              <w:t>Vertical</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HR and Talent Management</w:t>
            </w:r>
          </w:p>
        </w:tc>
      </w:tr>
      <w:tr>
        <w:tc>
          <w:tcPr>
            <w:tcW w:w="2268" w:type="dxa"/>
            <w:shd w:val="clear" w:color="auto" w:fill="1B2A4A"/>
            <w:tcMar>
              <w:top w:w="60" w:type="dxa"/>
              <w:left w:w="120" w:type="dxa"/>
              <w:bottom w:w="60" w:type="dxa"/>
              <w:right w:w="120" w:type="dxa"/>
            </w:tcMar>
          </w:tcPr>
          <w:p>
            <w:pPr>
              <w:spacing w:before="40" w:after="40"/>
            </w:pPr>
            <w:r>
              <w:rPr>
                <w:b/>
                <w:color w:val="FFFFFF"/>
                <w:sz w:val="18"/>
                <w:szCs w:val="18"/>
              </w:rPr>
              <w:t>Format</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Framework</w:t>
            </w:r>
          </w:p>
        </w:tc>
      </w:tr>
    </w:tbl>
    <w:p>
      <w:pPr>
        <w:spacing w:after="80" w:before="0"/>
      </w:pPr>
    </w:p>
    <w:tbl>
      <w:tblPr>
        <w:tblStyle w:val="TableGrid"/>
        <w:tblW w:w="9746" w:type="dxa"/>
        <w:tblBorders>
          <w:left w:val="single" w:sz="16" w:space="0" w:color="C2A76D"/>
        </w:tblBorders>
        <w:tblLook w:val="04A0"/>
      </w:tblPr>
      <w:tblGrid>
        <w:gridCol w:w="9746"/>
      </w:tblGrid>
      <w:tr>
        <w:tc>
          <w:tcPr>
            <w:tcW w:w="9746" w:type="dxa"/>
            <w:shd w:val="clear" w:color="auto" w:fill="FDF0D5"/>
            <w:tcMar>
              <w:top w:w="120" w:type="dxa"/>
              <w:left w:w="180" w:type="dxa"/>
              <w:bottom w:w="120" w:type="dxa"/>
              <w:right w:w="120" w:type="dxa"/>
            </w:tcMar>
          </w:tcPr>
          <w:p>
            <w:pPr>
              <w:spacing w:before="40" w:after="80"/>
            </w:pPr>
            <w:r>
              <w:rPr>
                <w:b/>
                <w:color w:val="C2A76D"/>
                <w:sz w:val="20"/>
                <w:szCs w:val="20"/>
              </w:rPr>
              <w:t xml:space="preserve">FOR LEADERSHIP  </w:t>
            </w:r>
            <w:r>
              <w:rPr>
                <w:color w:val="555555"/>
                <w:sz w:val="20"/>
                <w:szCs w:val="20"/>
              </w:rPr>
              <w:t xml:space="preserve">Workforce reductions are among the most visible and impactful decisions a business makes. Done well, they protect the business, demonstrate organisational judgment, and maintain the trust of remaining staff. Done poorly, they result in employment tribunal claims — unfair dismissal, discrimination, failure to consult — that are expensive, time-consuming, and damaging to operator reputation. For gambling operators, the intersection with regulatory obligations adds a further dimension: any redundancy affecting a PML holder, key individual, or role with direct compliance responsibilities requires specific management to ensure regulatory obligations are not disrupted. The board should receive a briefing on any significant workforce reduction programme before it is announced, and should satisfy itself that the legal and regulatory obligations have been considered and planned for.</w:t>
            </w:r>
          </w:p>
        </w:tc>
      </w:tr>
    </w:tbl>
    <w:p>
      <w:pPr>
        <w:spacing w:after="100" w:before="0"/>
      </w:pPr>
    </w:p>
    <w:tbl>
      <w:tblPr>
        <w:tblStyle w:val="TableGrid"/>
        <w:tblW w:w="9746" w:type="dxa"/>
        <w:tblBorders>
          <w:left w:val="single" w:sz="16" w:space="0" w:color="C2A76D"/>
        </w:tblBorders>
        <w:tblLook w:val="04A0"/>
      </w:tblPr>
      <w:tblGrid>
        <w:gridCol w:w="9746"/>
      </w:tblGrid>
      <w:tr>
        <w:tc>
          <w:tcPr>
            <w:tcW w:w="9746" w:type="dxa"/>
            <w:shd w:val="clear" w:color="auto" w:fill="FDF0D5"/>
            <w:tcMar>
              <w:top w:w="120" w:type="dxa"/>
              <w:left w:w="180" w:type="dxa"/>
              <w:bottom w:w="120" w:type="dxa"/>
              <w:right w:w="120" w:type="dxa"/>
            </w:tcMar>
          </w:tcPr>
          <w:p>
            <w:pPr>
              <w:spacing w:before="40" w:after="80"/>
            </w:pPr>
            <w:r>
              <w:rPr>
                <w:b/>
                <w:color w:val="C2A76D"/>
                <w:sz w:val="20"/>
                <w:szCs w:val="20"/>
              </w:rPr>
              <w:t xml:space="preserve">FOR THE MANAGER USING THIS TOOL  </w:t>
            </w:r>
            <w:r>
              <w:rPr>
                <w:color w:val="555555"/>
                <w:sz w:val="20"/>
                <w:szCs w:val="20"/>
              </w:rPr>
              <w:t xml:space="preserve">This framework works in six parts. Part 1 establishes the business case and determines whether a redundancy process is legally required and what type applies. Part 2 covers the selection pool and selection criteria — the most legally sensitive stage. Part 3 is the consultation framework, including the collective consultation rules that apply when 20 or more redundancies are proposed. Part 4 is the notification and statutory entitlements process. Part 5 covers the gambling regulatory obligations that apply when regulated roles are affected. Part 6 is the communications and remaining team management framework. Work through each part in sequence and do not begin communications until Parts 1 and 2 are complete and reviewed by HR and legal.</w:t>
            </w:r>
          </w:p>
        </w:tc>
      </w:tr>
    </w:tbl>
    <w:p>
      <w:pPr>
        <w:spacing w:after="100" w:before="0"/>
      </w:pPr>
    </w:p>
    <w:tbl>
      <w:tblPr>
        <w:tblStyle w:val="TableGrid"/>
        <w:tblW w:w="9746" w:type="dxa"/>
        <w:tblBorders>
          <w:left w:val="single" w:sz="16" w:space="0" w:color="C2A76D"/>
        </w:tblBorders>
        <w:tblLook w:val="04A0"/>
      </w:tblPr>
      <w:tblGrid>
        <w:gridCol w:w="9746"/>
      </w:tblGrid>
      <w:tr>
        <w:tc>
          <w:tcPr>
            <w:tcW w:w="9746" w:type="dxa"/>
            <w:shd w:val="clear" w:color="auto" w:fill="FDF0D5"/>
            <w:tcMar>
              <w:top w:w="120" w:type="dxa"/>
              <w:left w:w="180" w:type="dxa"/>
              <w:bottom w:w="120" w:type="dxa"/>
              <w:right w:w="120" w:type="dxa"/>
            </w:tcMar>
          </w:tcPr>
          <w:p>
            <w:pPr>
              <w:spacing w:before="40" w:after="80"/>
            </w:pPr>
            <w:r>
              <w:rPr>
                <w:b/>
                <w:color w:val="C2A76D"/>
                <w:sz w:val="20"/>
                <w:szCs w:val="20"/>
              </w:rPr>
              <w:t xml:space="preserve">OPERATOR TIP  </w:t>
            </w:r>
            <w:r>
              <w:rPr>
                <w:i/>
                <w:iCs/>
                <w:color w:val="555555"/>
                <w:sz w:val="18"/>
                <w:szCs w:val="18"/>
              </w:rPr>
              <w:t xml:space="preserve">The selection criteria stage (Part 2) is where most redundancy processes go wrong. Objective, documented, consistently applied criteria — skills matrix, performance record, business need — are defensible. Subjective criteria, or objective criteria applied inconsistently across the pool, are not. Spend the time to build the selection matrix before any names are finalised. If the pool includes anyone who is pregnant, on maternity leave, or who has raised a grievance recently, take additional legal advice before finalising selection.</w:t>
            </w:r>
          </w:p>
        </w:tc>
      </w:tr>
    </w:tbl>
    <w:p>
      <w:pPr>
        <w:spacing w:after="140" w:before="0"/>
      </w:pPr>
    </w:p>
    <w:p>
      <w:pPr>
        <w:pStyle w:val="Heading1"/>
        <w:spacing w:before="240" w:after="80"/>
      </w:pPr>
      <w:r>
        <w:rPr>
          <w:b/>
          <w:color w:val="1B2A4A"/>
          <w:sz w:val="28"/>
          <w:szCs w:val="28"/>
        </w:rPr>
        <w:t>Part 1 — Business Case and Process Determination</w:t>
      </w:r>
    </w:p>
    <w:p>
      <w:pPr>
        <w:spacing w:after="100" w:before="0"/>
      </w:pPr>
      <w:r>
        <w:rPr>
          <w:color w:val="555555"/>
          <w:sz w:val="20"/>
          <w:szCs w:val="20"/>
        </w:rPr>
        <w:t xml:space="preserve">Establish the genuine business reason for the redundancy before any process begins. Redundancy is a specific legal concept — it applies when a role becomes surplus to requirements, not when a person is unwanted. Conflating the two is the most common cause of unfair dismissal findings.</w:t>
      </w:r>
    </w:p>
    <w:p>
      <w:pPr>
        <w:spacing w:after="80" w:before="0"/>
      </w:pPr>
    </w:p>
    <w:p>
      <w:pPr>
        <w:pStyle w:val="Heading2"/>
        <w:spacing w:before="160" w:after="60"/>
      </w:pPr>
      <w:r>
        <w:rPr>
          <w:b/>
          <w:color w:val="C2A76D"/>
          <w:sz w:val="22"/>
          <w:szCs w:val="22"/>
        </w:rPr>
        <w:t>1.1  Legal Test — Is This Redundancy?</w:t>
      </w:r>
    </w:p>
    <w:tbl>
      <w:tblPr>
        <w:tblStyle w:val="TableGrid"/>
        <w:tblW w:w="9746" w:type="dxa"/>
        <w:tblLook w:val="04A0"/>
      </w:tblPr>
      <w:tblGrid>
        <w:gridCol w:w="4800"/>
        <w:gridCol w:w="1400"/>
        <w:gridCol w:w="3546"/>
      </w:tblGrid>
      <w:tr>
        <w:tc>
          <w:tcPr>
            <w:tcW w:w="4800" w:type="dxa"/>
            <w:shd w:val="clear" w:color="auto" w:fill="1B2A4A"/>
            <w:tcMar>
              <w:top w:w="80" w:type="dxa"/>
              <w:left w:w="120" w:type="dxa"/>
              <w:bottom w:w="80" w:type="dxa"/>
              <w:right w:w="120" w:type="dxa"/>
            </w:tcMar>
          </w:tcPr>
          <w:p>
            <w:pPr>
              <w:spacing w:before="40" w:after="40"/>
            </w:pPr>
            <w:r>
              <w:rPr>
                <w:b/>
                <w:color w:val="FFFFFF"/>
                <w:sz w:val="18"/>
                <w:szCs w:val="18"/>
              </w:rPr>
              <w:t>Condition (Employment Rights Act 1996 s.139)</w:t>
            </w:r>
          </w:p>
        </w:tc>
        <w:tc>
          <w:tcPr>
            <w:tcW w:w="1400" w:type="dxa"/>
            <w:shd w:val="clear" w:color="auto" w:fill="1B2A4A"/>
            <w:tcMar>
              <w:top w:w="80" w:type="dxa"/>
              <w:left w:w="120" w:type="dxa"/>
              <w:bottom w:w="80" w:type="dxa"/>
              <w:right w:w="120" w:type="dxa"/>
            </w:tcMar>
          </w:tcPr>
          <w:p>
            <w:pPr>
              <w:spacing w:before="40" w:after="40"/>
            </w:pPr>
            <w:r>
              <w:rPr>
                <w:b/>
                <w:color w:val="FFFFFF"/>
                <w:sz w:val="18"/>
                <w:szCs w:val="18"/>
              </w:rPr>
              <w:t>Applicable?</w:t>
            </w:r>
          </w:p>
        </w:tc>
        <w:tc>
          <w:tcPr>
            <w:tcW w:w="3546" w:type="dxa"/>
            <w:shd w:val="clear" w:color="auto" w:fill="1B2A4A"/>
            <w:tcMar>
              <w:top w:w="80" w:type="dxa"/>
              <w:left w:w="120" w:type="dxa"/>
              <w:bottom w:w="80" w:type="dxa"/>
              <w:right w:w="120" w:type="dxa"/>
            </w:tcMar>
          </w:tcPr>
          <w:p>
            <w:pPr>
              <w:spacing w:before="40" w:after="40"/>
            </w:pPr>
            <w:r>
              <w:rPr>
                <w:b/>
                <w:color w:val="FFFFFF"/>
                <w:sz w:val="18"/>
                <w:szCs w:val="18"/>
              </w:rPr>
              <w:t>Notes</w:t>
            </w:r>
          </w:p>
        </w:tc>
      </w:tr>
      <w:tr>
        <w:tc>
          <w:tcPr>
            <w:tcW w:w="4800" w:type="dxa"/>
            <w:shd w:val="clear" w:color="auto" w:fill="FDF0D5"/>
            <w:tcMar>
              <w:top w:w="60" w:type="dxa"/>
              <w:left w:w="120" w:type="dxa"/>
              <w:bottom w:w="60" w:type="dxa"/>
              <w:right w:w="120" w:type="dxa"/>
            </w:tcMar>
          </w:tcPr>
          <w:p>
            <w:pPr>
              <w:spacing w:before="40" w:after="40"/>
            </w:pPr>
            <w:r>
              <w:rPr>
                <w:color w:val="555555"/>
                <w:sz w:val="18"/>
                <w:szCs w:val="18"/>
              </w:rPr>
              <w:t xml:space="preserve">The business has ceased, or intends to cease, to carry on the activity for which the employee was employed</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3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800" w:type="dxa"/>
            <w:shd w:val="clear" w:color="auto" w:fill="FDF0D5"/>
            <w:tcMar>
              <w:top w:w="60" w:type="dxa"/>
              <w:left w:w="120" w:type="dxa"/>
              <w:bottom w:w="60" w:type="dxa"/>
              <w:right w:w="120" w:type="dxa"/>
            </w:tcMar>
          </w:tcPr>
          <w:p>
            <w:pPr>
              <w:spacing w:before="40" w:after="40"/>
            </w:pPr>
            <w:r>
              <w:rPr>
                <w:color w:val="555555"/>
                <w:sz w:val="18"/>
                <w:szCs w:val="18"/>
              </w:rPr>
              <w:t xml:space="preserve">The business has ceased, or intends to cease, activity in the location where the employee works</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3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800" w:type="dxa"/>
            <w:shd w:val="clear" w:color="auto" w:fill="FDF0D5"/>
            <w:tcMar>
              <w:top w:w="60" w:type="dxa"/>
              <w:left w:w="120" w:type="dxa"/>
              <w:bottom w:w="60" w:type="dxa"/>
              <w:right w:w="120" w:type="dxa"/>
            </w:tcMar>
          </w:tcPr>
          <w:p>
            <w:pPr>
              <w:spacing w:before="40" w:after="40"/>
            </w:pPr>
            <w:r>
              <w:rPr>
                <w:color w:val="555555"/>
                <w:sz w:val="18"/>
                <w:szCs w:val="18"/>
              </w:rPr>
              <w:t xml:space="preserve">The requirements of the business for the employee to carry out work of a particular kind have ceased or diminished</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3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60" w:before="0"/>
      </w:pPr>
    </w:p>
    <w:p>
      <w:pPr>
        <w:spacing w:after="100" w:before="0"/>
      </w:pPr>
      <w:r>
        <w:rPr>
          <w:color w:val="555555"/>
          <w:sz w:val="20"/>
          <w:szCs w:val="20"/>
        </w:rPr>
        <w:t xml:space="preserve">If none of the above applies, this is not a redundancy process. Seek HR/legal advice before proceeding.</w:t>
      </w:r>
    </w:p>
    <w:p>
      <w:pPr>
        <w:spacing w:after="80" w:before="0"/>
      </w:pPr>
    </w:p>
    <w:p>
      <w:pPr>
        <w:pStyle w:val="Heading2"/>
        <w:spacing w:before="160" w:after="60"/>
      </w:pPr>
      <w:r>
        <w:rPr>
          <w:b/>
          <w:color w:val="C2A76D"/>
          <w:sz w:val="22"/>
          <w:szCs w:val="22"/>
        </w:rPr>
        <w:t>1.2  Scale and Collective Consultation Trigger</w:t>
      </w:r>
    </w:p>
    <w:tbl>
      <w:tblPr>
        <w:tblStyle w:val="TableGrid"/>
        <w:tblW w:w="9746" w:type="dxa"/>
        <w:tblLook w:val="04A0"/>
      </w:tblPr>
      <w:tblGrid>
        <w:gridCol w:w="3000"/>
        <w:gridCol w:w="2200"/>
        <w:gridCol w:w="2200"/>
        <w:gridCol w:w="2346"/>
      </w:tblGrid>
      <w:tr>
        <w:tc>
          <w:tcPr>
            <w:tcW w:w="3000" w:type="dxa"/>
            <w:shd w:val="clear" w:color="auto" w:fill="1B2A4A"/>
            <w:tcMar>
              <w:top w:w="80" w:type="dxa"/>
              <w:left w:w="120" w:type="dxa"/>
              <w:bottom w:w="80" w:type="dxa"/>
              <w:right w:w="120" w:type="dxa"/>
            </w:tcMar>
          </w:tcPr>
          <w:p>
            <w:pPr>
              <w:spacing w:before="40" w:after="40"/>
            </w:pPr>
            <w:r>
              <w:rPr>
                <w:b/>
                <w:color w:val="FFFFFF"/>
                <w:sz w:val="18"/>
                <w:szCs w:val="18"/>
              </w:rPr>
              <w:t>Proposed Redundancies</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Collective Consultation Required?</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Minimum Consultation Period</w:t>
            </w:r>
          </w:p>
        </w:tc>
        <w:tc>
          <w:tcPr>
            <w:tcW w:w="2346" w:type="dxa"/>
            <w:shd w:val="clear" w:color="auto" w:fill="1B2A4A"/>
            <w:tcMar>
              <w:top w:w="80" w:type="dxa"/>
              <w:left w:w="120" w:type="dxa"/>
              <w:bottom w:w="80" w:type="dxa"/>
              <w:right w:w="120" w:type="dxa"/>
            </w:tcMar>
          </w:tcPr>
          <w:p>
            <w:pPr>
              <w:spacing w:before="40" w:after="40"/>
            </w:pPr>
            <w:r>
              <w:rPr>
                <w:b/>
                <w:color w:val="FFFFFF"/>
                <w:sz w:val="18"/>
                <w:szCs w:val="18"/>
              </w:rPr>
              <w:t>ACAS Notification (HR1)?</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Fewer than 20</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No collective obligation</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Individual consultation — reasonable period</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No</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20–99 in 90 days</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Yes — collective consultation</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Minimum 30 days before first dismissal</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Yes — 30 days before</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100+ in 90 days</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Yes — collective consultation</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Minimum 45 days before first dismissal</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Yes — 45 days before</w:t>
            </w:r>
          </w:p>
        </w:tc>
      </w:tr>
    </w:tbl>
    <w:p>
      <w:pPr>
        <w:spacing w:after="60" w:before="0"/>
      </w:pPr>
    </w:p>
    <w:p>
      <w:pPr>
        <w:spacing w:after="60" w:before="100"/>
      </w:pPr>
      <w:r>
        <w:rPr>
          <w:b/>
          <w:color w:val="1B2A4A"/>
          <w:sz w:val="18"/>
          <w:szCs w:val="18"/>
        </w:rPr>
        <w:t>Number of proposed redundancies:</w:t>
      </w:r>
    </w:p>
    <w:p>
      <w:pPr>
        <w:spacing w:after="100" w:before="0"/>
      </w:pPr>
      <w:r>
        <w:rPr>
          <w:color w:val="555555"/>
          <w:sz w:val="20"/>
          <w:szCs w:val="20"/>
        </w:rPr>
        <w:t xml:space="preserve"/>
      </w:r>
    </w:p>
    <w:p>
      <w:pPr>
        <w:spacing w:after="60" w:before="100"/>
      </w:pPr>
      <w:r>
        <w:rPr>
          <w:b/>
          <w:color w:val="1B2A4A"/>
          <w:sz w:val="18"/>
          <w:szCs w:val="18"/>
        </w:rPr>
        <w:t>Collective consultation required?</w:t>
      </w:r>
    </w:p>
    <w:p>
      <w:pPr>
        <w:spacing w:after="100" w:before="0"/>
      </w:pPr>
      <w:r>
        <w:rPr>
          <w:color w:val="555555"/>
          <w:sz w:val="20"/>
          <w:szCs w:val="20"/>
        </w:rPr>
        <w:t xml:space="preserve">Yes / No</w:t>
      </w:r>
    </w:p>
    <w:p>
      <w:pPr>
        <w:spacing w:after="60" w:before="100"/>
      </w:pPr>
      <w:r>
        <w:rPr>
          <w:b/>
          <w:color w:val="1B2A4A"/>
          <w:sz w:val="18"/>
          <w:szCs w:val="18"/>
        </w:rPr>
        <w:t>ACAS HR1 notification required?</w:t>
      </w:r>
    </w:p>
    <w:p>
      <w:pPr>
        <w:spacing w:after="100" w:before="0"/>
      </w:pPr>
      <w:r>
        <w:rPr>
          <w:color w:val="555555"/>
          <w:sz w:val="20"/>
          <w:szCs w:val="20"/>
        </w:rPr>
        <w:t xml:space="preserve">Yes / No  |  Due date: _______________</w:t>
      </w:r>
    </w:p>
    <w:p>
      <w:pPr>
        <w:spacing w:after="80" w:before="0"/>
      </w:pPr>
    </w:p>
    <w:p>
      <w:pPr>
        <w:pStyle w:val="Heading2"/>
        <w:spacing w:before="160" w:after="60"/>
      </w:pPr>
      <w:r>
        <w:rPr>
          <w:b/>
          <w:color w:val="C2A76D"/>
          <w:sz w:val="22"/>
          <w:szCs w:val="22"/>
        </w:rPr>
        <w:t>1.3  Business Case Summary</w:t>
      </w:r>
    </w:p>
    <w:p>
      <w:pPr>
        <w:spacing w:after="60" w:before="100"/>
      </w:pPr>
      <w:r>
        <w:rPr>
          <w:b/>
          <w:color w:val="1B2A4A"/>
          <w:sz w:val="18"/>
          <w:szCs w:val="18"/>
        </w:rPr>
        <w:t>Business reason for the reduction:</w:t>
      </w:r>
    </w:p>
    <w:p>
      <w:pPr>
        <w:spacing w:after="100" w:before="0"/>
      </w:pPr>
      <w:r>
        <w:rPr>
          <w:color w:val="555555"/>
          <w:sz w:val="20"/>
          <w:szCs w:val="20"/>
        </w:rPr>
        <w:t xml:space="preserve"/>
      </w:r>
    </w:p>
    <w:p>
      <w:pPr>
        <w:spacing w:after="60" w:before="100"/>
      </w:pPr>
      <w:r>
        <w:rPr>
          <w:b/>
          <w:color w:val="1B2A4A"/>
          <w:sz w:val="18"/>
          <w:szCs w:val="18"/>
        </w:rPr>
        <w:t>Functions/areas affected:</w:t>
      </w:r>
    </w:p>
    <w:p>
      <w:pPr>
        <w:spacing w:after="100" w:before="0"/>
      </w:pPr>
      <w:r>
        <w:rPr>
          <w:color w:val="555555"/>
          <w:sz w:val="20"/>
          <w:szCs w:val="20"/>
        </w:rPr>
        <w:t xml:space="preserve"/>
      </w:r>
    </w:p>
    <w:p>
      <w:pPr>
        <w:spacing w:after="60" w:before="100"/>
      </w:pPr>
      <w:r>
        <w:rPr>
          <w:b/>
          <w:color w:val="1B2A4A"/>
          <w:sz w:val="18"/>
          <w:szCs w:val="18"/>
        </w:rPr>
        <w:t>Proposed headcount reduction:</w:t>
      </w:r>
    </w:p>
    <w:p>
      <w:pPr>
        <w:spacing w:after="100" w:before="0"/>
      </w:pPr>
      <w:r>
        <w:rPr>
          <w:color w:val="555555"/>
          <w:sz w:val="20"/>
          <w:szCs w:val="20"/>
        </w:rPr>
        <w:t xml:space="preserve"/>
      </w:r>
    </w:p>
    <w:p>
      <w:pPr>
        <w:spacing w:after="60" w:before="100"/>
      </w:pPr>
      <w:r>
        <w:rPr>
          <w:b/>
          <w:color w:val="1B2A4A"/>
          <w:sz w:val="18"/>
          <w:szCs w:val="18"/>
        </w:rPr>
        <w:t>Target completion date:</w:t>
      </w:r>
    </w:p>
    <w:p>
      <w:pPr>
        <w:spacing w:after="100" w:before="0"/>
      </w:pPr>
      <w:r>
        <w:rPr>
          <w:color w:val="555555"/>
          <w:sz w:val="20"/>
          <w:szCs w:val="20"/>
        </w:rPr>
        <w:t xml:space="preserve"/>
      </w:r>
    </w:p>
    <w:p>
      <w:pPr>
        <w:spacing w:after="60" w:before="100"/>
      </w:pPr>
      <w:r>
        <w:rPr>
          <w:b/>
          <w:color w:val="1B2A4A"/>
          <w:sz w:val="18"/>
          <w:szCs w:val="18"/>
        </w:rPr>
        <w:t>Board/senior leadership approval confirmed?</w:t>
      </w:r>
    </w:p>
    <w:p>
      <w:pPr>
        <w:spacing w:after="100" w:before="0"/>
      </w:pPr>
      <w:r>
        <w:rPr>
          <w:color w:val="555555"/>
          <w:sz w:val="20"/>
          <w:szCs w:val="20"/>
        </w:rPr>
        <w:t xml:space="preserve">Yes / No  |  Date: _______________</w:t>
      </w:r>
    </w:p>
    <w:p>
      <w:pPr>
        <w:spacing w:after="60" w:before="100"/>
      </w:pPr>
      <w:r>
        <w:rPr>
          <w:b/>
          <w:color w:val="1B2A4A"/>
          <w:sz w:val="18"/>
          <w:szCs w:val="18"/>
        </w:rPr>
        <w:t>Legal counsel engaged?</w:t>
      </w:r>
    </w:p>
    <w:p>
      <w:pPr>
        <w:spacing w:after="100" w:before="0"/>
      </w:pPr>
      <w:r>
        <w:rPr>
          <w:color w:val="555555"/>
          <w:sz w:val="20"/>
          <w:szCs w:val="20"/>
        </w:rPr>
        <w:t xml:space="preserve">Yes / No  |  Contact: _______________</w:t>
      </w:r>
    </w:p>
    <w:p>
      <w:pPr>
        <w:spacing w:after="80" w:before="0"/>
      </w:pPr>
    </w:p>
    <w:p>
      <w:pPr>
        <w:pStyle w:val="Heading1"/>
        <w:spacing w:before="240" w:after="80"/>
      </w:pPr>
      <w:r>
        <w:rPr>
          <w:b/>
          <w:color w:val="1B2A4A"/>
          <w:sz w:val="28"/>
          <w:szCs w:val="28"/>
        </w:rPr>
        <w:t>Part 2 — Selection Pool and Selection Criteria</w:t>
      </w:r>
    </w:p>
    <w:p>
      <w:pPr>
        <w:spacing w:after="100" w:before="0"/>
      </w:pPr>
      <w:r>
        <w:rPr>
          <w:color w:val="555555"/>
          <w:sz w:val="20"/>
          <w:szCs w:val="20"/>
        </w:rPr>
        <w:t xml:space="preserve">Define the pool of employees at risk before any selection criteria are applied. The pool must be defined by the business rationale — the roles that have reduced or ceased — not by the people currently in them.</w:t>
      </w:r>
    </w:p>
    <w:p>
      <w:pPr>
        <w:spacing w:after="80" w:before="0"/>
      </w:pPr>
    </w:p>
    <w:p>
      <w:pPr>
        <w:pStyle w:val="Heading2"/>
        <w:spacing w:before="160" w:after="60"/>
      </w:pPr>
      <w:r>
        <w:rPr>
          <w:b/>
          <w:color w:val="C2A76D"/>
          <w:sz w:val="22"/>
          <w:szCs w:val="22"/>
        </w:rPr>
        <w:t>2.1  Selection Pool Definition</w:t>
      </w:r>
    </w:p>
    <w:tbl>
      <w:tblPr>
        <w:tblStyle w:val="TableGrid"/>
        <w:tblW w:w="9746" w:type="dxa"/>
        <w:tblLook w:val="04A0"/>
      </w:tblPr>
      <w:tblGrid>
        <w:gridCol w:w="2400"/>
        <w:gridCol w:w="2800"/>
        <w:gridCol w:w="1600"/>
        <w:gridCol w:w="1600"/>
        <w:gridCol w:w="1346"/>
      </w:tblGrid>
      <w:tr>
        <w:tc>
          <w:tcPr>
            <w:tcW w:w="2400" w:type="dxa"/>
            <w:shd w:val="clear" w:color="auto" w:fill="1B2A4A"/>
            <w:tcMar>
              <w:top w:w="80" w:type="dxa"/>
              <w:left w:w="120" w:type="dxa"/>
              <w:bottom w:w="80" w:type="dxa"/>
              <w:right w:w="120" w:type="dxa"/>
            </w:tcMar>
          </w:tcPr>
          <w:p>
            <w:pPr>
              <w:spacing w:before="40" w:after="40"/>
            </w:pPr>
            <w:r>
              <w:rPr>
                <w:b/>
                <w:color w:val="FFFFFF"/>
                <w:sz w:val="18"/>
                <w:szCs w:val="18"/>
              </w:rPr>
              <w:t>Pool Area / Team</w:t>
            </w:r>
          </w:p>
        </w:tc>
        <w:tc>
          <w:tcPr>
            <w:tcW w:w="2800" w:type="dxa"/>
            <w:shd w:val="clear" w:color="auto" w:fill="1B2A4A"/>
            <w:tcMar>
              <w:top w:w="80" w:type="dxa"/>
              <w:left w:w="120" w:type="dxa"/>
              <w:bottom w:w="80" w:type="dxa"/>
              <w:right w:w="120" w:type="dxa"/>
            </w:tcMar>
          </w:tcPr>
          <w:p>
            <w:pPr>
              <w:spacing w:before="40" w:after="40"/>
            </w:pPr>
            <w:r>
              <w:rPr>
                <w:b/>
                <w:color w:val="FFFFFF"/>
                <w:sz w:val="18"/>
                <w:szCs w:val="18"/>
              </w:rPr>
              <w:t>Roles Included in Pool</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Current Headcount</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Target Headcount</w:t>
            </w:r>
          </w:p>
        </w:tc>
        <w:tc>
          <w:tcPr>
            <w:tcW w:w="1346" w:type="dxa"/>
            <w:shd w:val="clear" w:color="auto" w:fill="1B2A4A"/>
            <w:tcMar>
              <w:top w:w="80" w:type="dxa"/>
              <w:left w:w="120" w:type="dxa"/>
              <w:bottom w:w="80" w:type="dxa"/>
              <w:right w:w="120" w:type="dxa"/>
            </w:tcMar>
          </w:tcPr>
          <w:p>
            <w:pPr>
              <w:spacing w:before="40" w:after="40"/>
            </w:pPr>
            <w:r>
              <w:rPr>
                <w:b/>
                <w:color w:val="FFFFFF"/>
                <w:sz w:val="18"/>
                <w:szCs w:val="18"/>
              </w:rPr>
              <w:t>Reduction Required</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3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3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3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80" w:before="0"/>
      </w:pPr>
    </w:p>
    <w:p>
      <w:pPr>
        <w:pStyle w:val="Heading2"/>
        <w:spacing w:before="160" w:after="60"/>
      </w:pPr>
      <w:r>
        <w:rPr>
          <w:b/>
          <w:color w:val="C2A76D"/>
          <w:sz w:val="22"/>
          <w:szCs w:val="22"/>
        </w:rPr>
        <w:t>2.2  Selection Criteria Matrix</w:t>
      </w:r>
    </w:p>
    <w:p>
      <w:pPr>
        <w:spacing w:after="100" w:before="0"/>
      </w:pPr>
      <w:r>
        <w:rPr>
          <w:color w:val="555555"/>
          <w:sz w:val="20"/>
          <w:szCs w:val="20"/>
        </w:rPr>
        <w:t xml:space="preserve">Selection criteria must be objective, measurable, and consistently applied. Score each person at risk against each criterion. The criteria and their weightings must be confirmed with HR and legal before scoring begins.</w:t>
      </w:r>
    </w:p>
    <w:tbl>
      <w:tblPr>
        <w:tblStyle w:val="TableGrid"/>
        <w:tblW w:w="9746" w:type="dxa"/>
        <w:tblLook w:val="04A0"/>
      </w:tblPr>
      <w:tblGrid>
        <w:gridCol w:w="3000"/>
        <w:gridCol w:w="1400"/>
        <w:gridCol w:w="2600"/>
        <w:gridCol w:w="2746"/>
      </w:tblGrid>
      <w:tr>
        <w:tc>
          <w:tcPr>
            <w:tcW w:w="3000" w:type="dxa"/>
            <w:shd w:val="clear" w:color="auto" w:fill="1B2A4A"/>
            <w:tcMar>
              <w:top w:w="80" w:type="dxa"/>
              <w:left w:w="120" w:type="dxa"/>
              <w:bottom w:w="80" w:type="dxa"/>
              <w:right w:w="120" w:type="dxa"/>
            </w:tcMar>
          </w:tcPr>
          <w:p>
            <w:pPr>
              <w:spacing w:before="40" w:after="40"/>
            </w:pPr>
            <w:r>
              <w:rPr>
                <w:b/>
                <w:color w:val="FFFFFF"/>
                <w:sz w:val="18"/>
                <w:szCs w:val="18"/>
              </w:rPr>
              <w:t>Criterion</w:t>
            </w:r>
          </w:p>
        </w:tc>
        <w:tc>
          <w:tcPr>
            <w:tcW w:w="1400" w:type="dxa"/>
            <w:shd w:val="clear" w:color="auto" w:fill="1B2A4A"/>
            <w:tcMar>
              <w:top w:w="80" w:type="dxa"/>
              <w:left w:w="120" w:type="dxa"/>
              <w:bottom w:w="80" w:type="dxa"/>
              <w:right w:w="120" w:type="dxa"/>
            </w:tcMar>
          </w:tcPr>
          <w:p>
            <w:pPr>
              <w:spacing w:before="40" w:after="40"/>
            </w:pPr>
            <w:r>
              <w:rPr>
                <w:b/>
                <w:color w:val="FFFFFF"/>
                <w:sz w:val="18"/>
                <w:szCs w:val="18"/>
              </w:rPr>
              <w:t>Weighting</w:t>
            </w:r>
          </w:p>
        </w:tc>
        <w:tc>
          <w:tcPr>
            <w:tcW w:w="2600" w:type="dxa"/>
            <w:shd w:val="clear" w:color="auto" w:fill="1B2A4A"/>
            <w:tcMar>
              <w:top w:w="80" w:type="dxa"/>
              <w:left w:w="120" w:type="dxa"/>
              <w:bottom w:w="80" w:type="dxa"/>
              <w:right w:w="120" w:type="dxa"/>
            </w:tcMar>
          </w:tcPr>
          <w:p>
            <w:pPr>
              <w:spacing w:before="40" w:after="40"/>
            </w:pPr>
            <w:r>
              <w:rPr>
                <w:b/>
                <w:color w:val="FFFFFF"/>
                <w:sz w:val="18"/>
                <w:szCs w:val="18"/>
              </w:rPr>
              <w:t>Scoring Method</w:t>
            </w:r>
          </w:p>
        </w:tc>
        <w:tc>
          <w:tcPr>
            <w:tcW w:w="2746" w:type="dxa"/>
            <w:shd w:val="clear" w:color="auto" w:fill="1B2A4A"/>
            <w:tcMar>
              <w:top w:w="80" w:type="dxa"/>
              <w:left w:w="120" w:type="dxa"/>
              <w:bottom w:w="80" w:type="dxa"/>
              <w:right w:w="120" w:type="dxa"/>
            </w:tcMar>
          </w:tcPr>
          <w:p>
            <w:pPr>
              <w:spacing w:before="40" w:after="40"/>
            </w:pPr>
            <w:r>
              <w:rPr>
                <w:b/>
                <w:color w:val="FFFFFF"/>
                <w:sz w:val="18"/>
                <w:szCs w:val="18"/>
              </w:rPr>
              <w:t>Source of Evidence</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Skills and capability relevant to future business needs</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_____%</w:t>
            </w:r>
          </w:p>
        </w:tc>
        <w:tc>
          <w:tcPr>
            <w:tcW w:w="2600" w:type="dxa"/>
            <w:shd w:val="clear" w:color="auto" w:fill="FDF0D5"/>
            <w:tcMar>
              <w:top w:w="60" w:type="dxa"/>
              <w:left w:w="120" w:type="dxa"/>
              <w:bottom w:w="60" w:type="dxa"/>
              <w:right w:w="120" w:type="dxa"/>
            </w:tcMar>
          </w:tcPr>
          <w:p>
            <w:pPr>
              <w:spacing w:before="40" w:after="40"/>
            </w:pPr>
            <w:r>
              <w:rPr>
                <w:color w:val="555555"/>
                <w:sz w:val="18"/>
                <w:szCs w:val="18"/>
              </w:rPr>
              <w:t xml:space="preserve">1–5 scale</w:t>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Performance record, skills assessment</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Performance record</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_____%</w:t>
            </w:r>
          </w:p>
        </w:tc>
        <w:tc>
          <w:tcPr>
            <w:tcW w:w="2600" w:type="dxa"/>
            <w:shd w:val="clear" w:color="auto" w:fill="FDF0D5"/>
            <w:tcMar>
              <w:top w:w="60" w:type="dxa"/>
              <w:left w:w="120" w:type="dxa"/>
              <w:bottom w:w="60" w:type="dxa"/>
              <w:right w:w="120" w:type="dxa"/>
            </w:tcMar>
          </w:tcPr>
          <w:p>
            <w:pPr>
              <w:spacing w:before="40" w:after="40"/>
            </w:pPr>
            <w:r>
              <w:rPr>
                <w:color w:val="555555"/>
                <w:sz w:val="18"/>
                <w:szCs w:val="18"/>
              </w:rPr>
              <w:t xml:space="preserve">1–5 scale</w:t>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Appraisal records, manager assessment</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Attendance record (excluding disability-related absence)</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_____%</w:t>
            </w:r>
          </w:p>
        </w:tc>
        <w:tc>
          <w:tcPr>
            <w:tcW w:w="2600" w:type="dxa"/>
            <w:shd w:val="clear" w:color="auto" w:fill="FDF0D5"/>
            <w:tcMar>
              <w:top w:w="60" w:type="dxa"/>
              <w:left w:w="120" w:type="dxa"/>
              <w:bottom w:w="60" w:type="dxa"/>
              <w:right w:w="120" w:type="dxa"/>
            </w:tcMar>
          </w:tcPr>
          <w:p>
            <w:pPr>
              <w:spacing w:before="40" w:after="40"/>
            </w:pPr>
            <w:r>
              <w:rPr>
                <w:color w:val="555555"/>
                <w:sz w:val="18"/>
                <w:szCs w:val="18"/>
              </w:rPr>
              <w:t xml:space="preserve">1–5 scale</w:t>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HR records</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Length of service (if weighted — confirm legal advice)</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_____%</w:t>
            </w:r>
          </w:p>
        </w:tc>
        <w:tc>
          <w:tcPr>
            <w:tcW w:w="2600" w:type="dxa"/>
            <w:shd w:val="clear" w:color="auto" w:fill="FDF0D5"/>
            <w:tcMar>
              <w:top w:w="60" w:type="dxa"/>
              <w:left w:w="120" w:type="dxa"/>
              <w:bottom w:w="60" w:type="dxa"/>
              <w:right w:w="120" w:type="dxa"/>
            </w:tcMar>
          </w:tcPr>
          <w:p>
            <w:pPr>
              <w:spacing w:before="40" w:after="40"/>
            </w:pPr>
            <w:r>
              <w:rPr>
                <w:color w:val="555555"/>
                <w:sz w:val="18"/>
                <w:szCs w:val="18"/>
              </w:rPr>
              <w:t xml:space="preserve">Years</w:t>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HR records</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Disciplinary record</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_____%</w:t>
            </w:r>
          </w:p>
        </w:tc>
        <w:tc>
          <w:tcPr>
            <w:tcW w:w="2600" w:type="dxa"/>
            <w:shd w:val="clear" w:color="auto" w:fill="FDF0D5"/>
            <w:tcMar>
              <w:top w:w="60" w:type="dxa"/>
              <w:left w:w="120" w:type="dxa"/>
              <w:bottom w:w="60" w:type="dxa"/>
              <w:right w:w="120" w:type="dxa"/>
            </w:tcMar>
          </w:tcPr>
          <w:p>
            <w:pPr>
              <w:spacing w:before="40" w:after="40"/>
            </w:pPr>
            <w:r>
              <w:rPr>
                <w:color w:val="555555"/>
                <w:sz w:val="18"/>
                <w:szCs w:val="18"/>
              </w:rPr>
              <w:t xml:space="preserve">Pass/Fail or 1–5</w:t>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HR records</w:t>
            </w:r>
          </w:p>
        </w:tc>
      </w:tr>
    </w:tbl>
    <w:p>
      <w:pPr>
        <w:spacing w:after="60" w:before="0"/>
      </w:pPr>
    </w:p>
    <w:p>
      <w:pPr>
        <w:spacing w:after="100" w:before="0"/>
      </w:pPr>
      <w:r>
        <w:rPr>
          <w:color w:val="555555"/>
          <w:sz w:val="20"/>
          <w:szCs w:val="20"/>
        </w:rPr>
        <w:t xml:space="preserve">IMPORTANT: Do not include criteria that could directly or indirectly discriminate on the basis of age, sex, race, disability, pregnancy, maternity, religion, sexual orientation, or any other protected characteristic. Confirm criteria with legal counsel before applying.</w:t>
      </w:r>
    </w:p>
    <w:p>
      <w:pPr>
        <w:spacing w:after="80" w:before="0"/>
      </w:pPr>
    </w:p>
    <w:p>
      <w:pPr>
        <w:pStyle w:val="Heading2"/>
        <w:spacing w:before="160" w:after="60"/>
      </w:pPr>
      <w:r>
        <w:rPr>
          <w:b/>
          <w:color w:val="C2A76D"/>
          <w:sz w:val="22"/>
          <w:szCs w:val="22"/>
        </w:rPr>
        <w:t>2.3  Protected Characteristics Review</w:t>
      </w:r>
    </w:p>
    <w:tbl>
      <w:tblPr>
        <w:tblStyle w:val="TableGrid"/>
        <w:tblW w:w="9746" w:type="dxa"/>
        <w:tblLook w:val="04A0"/>
      </w:tblPr>
      <w:tblGrid>
        <w:gridCol w:w="6000"/>
        <w:gridCol w:w="3746"/>
      </w:tblGrid>
      <w:tr>
        <w:tc>
          <w:tcPr>
            <w:tcW w:w="6000" w:type="dxa"/>
            <w:shd w:val="clear" w:color="auto" w:fill="1B2A4A"/>
            <w:tcMar>
              <w:top w:w="80" w:type="dxa"/>
              <w:left w:w="120" w:type="dxa"/>
              <w:bottom w:w="80" w:type="dxa"/>
              <w:right w:w="120" w:type="dxa"/>
            </w:tcMar>
          </w:tcPr>
          <w:p>
            <w:pPr>
              <w:spacing w:before="40" w:after="40"/>
            </w:pPr>
            <w:r>
              <w:rPr>
                <w:b/>
                <w:color w:val="FFFFFF"/>
                <w:sz w:val="18"/>
                <w:szCs w:val="18"/>
              </w:rPr>
              <w:t>Check</w:t>
            </w:r>
          </w:p>
        </w:tc>
        <w:tc>
          <w:tcPr>
            <w:tcW w:w="3746" w:type="dxa"/>
            <w:shd w:val="clear" w:color="auto" w:fill="1B2A4A"/>
            <w:tcMar>
              <w:top w:w="80" w:type="dxa"/>
              <w:left w:w="120" w:type="dxa"/>
              <w:bottom w:w="80" w:type="dxa"/>
              <w:right w:w="120" w:type="dxa"/>
            </w:tcMar>
          </w:tcPr>
          <w:p>
            <w:pPr>
              <w:spacing w:before="40" w:after="40"/>
            </w:pPr>
            <w:r>
              <w:rPr>
                <w:b/>
                <w:color w:val="FFFFFF"/>
                <w:sz w:val="18"/>
                <w:szCs w:val="18"/>
              </w:rPr>
              <w:t>Confirmed</w:t>
            </w:r>
          </w:p>
        </w:tc>
      </w:tr>
      <w:tr>
        <w:tc>
          <w:tcPr>
            <w:tcW w:w="6000" w:type="dxa"/>
            <w:shd w:val="clear" w:color="auto" w:fill="FDF0D5"/>
            <w:tcMar>
              <w:top w:w="60" w:type="dxa"/>
              <w:left w:w="120" w:type="dxa"/>
              <w:bottom w:w="60" w:type="dxa"/>
              <w:right w:w="120" w:type="dxa"/>
            </w:tcMar>
          </w:tcPr>
          <w:p>
            <w:pPr>
              <w:spacing w:before="40" w:after="40"/>
            </w:pPr>
            <w:r>
              <w:rPr>
                <w:color w:val="555555"/>
                <w:sz w:val="18"/>
                <w:szCs w:val="18"/>
              </w:rPr>
              <w:t xml:space="preserve">Selection pool and shortlist reviewed for any disproportionate impact on a protected group</w:t>
            </w:r>
          </w:p>
        </w:tc>
        <w:tc>
          <w:tcPr>
            <w:tcW w:w="37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r>
        <w:tc>
          <w:tcPr>
            <w:tcW w:w="6000" w:type="dxa"/>
            <w:shd w:val="clear" w:color="auto" w:fill="FDF0D5"/>
            <w:tcMar>
              <w:top w:w="60" w:type="dxa"/>
              <w:left w:w="120" w:type="dxa"/>
              <w:bottom w:w="60" w:type="dxa"/>
              <w:right w:w="120" w:type="dxa"/>
            </w:tcMar>
          </w:tcPr>
          <w:p>
            <w:pPr>
              <w:spacing w:before="40" w:after="40"/>
            </w:pPr>
            <w:r>
              <w:rPr>
                <w:color w:val="555555"/>
                <w:sz w:val="18"/>
                <w:szCs w:val="18"/>
              </w:rPr>
              <w:t xml:space="preserve">Anyone in the pool currently pregnant or on maternity/adoption leave identified — additional advice taken</w:t>
            </w:r>
          </w:p>
        </w:tc>
        <w:tc>
          <w:tcPr>
            <w:tcW w:w="3746" w:type="dxa"/>
            <w:shd w:val="clear" w:color="auto" w:fill="FDF0D5"/>
            <w:tcMar>
              <w:top w:w="60" w:type="dxa"/>
              <w:left w:w="120" w:type="dxa"/>
              <w:bottom w:w="60" w:type="dxa"/>
              <w:right w:w="120" w:type="dxa"/>
            </w:tcMar>
          </w:tcPr>
          <w:p>
            <w:pPr>
              <w:spacing w:before="40" w:after="40"/>
            </w:pPr>
            <w:r>
              <w:rPr>
                <w:color w:val="555555"/>
                <w:sz w:val="18"/>
                <w:szCs w:val="18"/>
              </w:rPr>
              <w:t xml:space="preserve">Yes / No / N/A</w:t>
            </w:r>
          </w:p>
        </w:tc>
      </w:tr>
      <w:tr>
        <w:tc>
          <w:tcPr>
            <w:tcW w:w="6000" w:type="dxa"/>
            <w:shd w:val="clear" w:color="auto" w:fill="FDF0D5"/>
            <w:tcMar>
              <w:top w:w="60" w:type="dxa"/>
              <w:left w:w="120" w:type="dxa"/>
              <w:bottom w:w="60" w:type="dxa"/>
              <w:right w:w="120" w:type="dxa"/>
            </w:tcMar>
          </w:tcPr>
          <w:p>
            <w:pPr>
              <w:spacing w:before="40" w:after="40"/>
            </w:pPr>
            <w:r>
              <w:rPr>
                <w:color w:val="555555"/>
                <w:sz w:val="18"/>
                <w:szCs w:val="18"/>
              </w:rPr>
              <w:t xml:space="preserve">Anyone in the pool who has raised a grievance or made a whistleblowing disclosure in last 12 months — additional advice taken</w:t>
            </w:r>
          </w:p>
        </w:tc>
        <w:tc>
          <w:tcPr>
            <w:tcW w:w="3746" w:type="dxa"/>
            <w:shd w:val="clear" w:color="auto" w:fill="FDF0D5"/>
            <w:tcMar>
              <w:top w:w="60" w:type="dxa"/>
              <w:left w:w="120" w:type="dxa"/>
              <w:bottom w:w="60" w:type="dxa"/>
              <w:right w:w="120" w:type="dxa"/>
            </w:tcMar>
          </w:tcPr>
          <w:p>
            <w:pPr>
              <w:spacing w:before="40" w:after="40"/>
            </w:pPr>
            <w:r>
              <w:rPr>
                <w:color w:val="555555"/>
                <w:sz w:val="18"/>
                <w:szCs w:val="18"/>
              </w:rPr>
              <w:t xml:space="preserve">Yes / No / N/A</w:t>
            </w:r>
          </w:p>
        </w:tc>
      </w:tr>
      <w:tr>
        <w:tc>
          <w:tcPr>
            <w:tcW w:w="6000" w:type="dxa"/>
            <w:shd w:val="clear" w:color="auto" w:fill="FDF0D5"/>
            <w:tcMar>
              <w:top w:w="60" w:type="dxa"/>
              <w:left w:w="120" w:type="dxa"/>
              <w:bottom w:w="60" w:type="dxa"/>
              <w:right w:w="120" w:type="dxa"/>
            </w:tcMar>
          </w:tcPr>
          <w:p>
            <w:pPr>
              <w:spacing w:before="40" w:after="40"/>
            </w:pPr>
            <w:r>
              <w:rPr>
                <w:color w:val="555555"/>
                <w:sz w:val="18"/>
                <w:szCs w:val="18"/>
              </w:rPr>
              <w:t xml:space="preserve">Part-time workers — selection criteria do not indirectly disadvantage them</w:t>
            </w:r>
          </w:p>
        </w:tc>
        <w:tc>
          <w:tcPr>
            <w:tcW w:w="37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bl>
    <w:p>
      <w:pPr>
        <w:spacing w:after="80" w:before="0"/>
      </w:pPr>
    </w:p>
    <w:p>
      <w:pPr>
        <w:pStyle w:val="Heading1"/>
        <w:spacing w:before="240" w:after="80"/>
      </w:pPr>
      <w:r>
        <w:rPr>
          <w:b/>
          <w:color w:val="1B2A4A"/>
          <w:sz w:val="28"/>
          <w:szCs w:val="28"/>
        </w:rPr>
        <w:t>Part 3 — Consultation Framework</w:t>
      </w:r>
    </w:p>
    <w:p>
      <w:pPr>
        <w:pStyle w:val="Heading2"/>
        <w:spacing w:before="160" w:after="60"/>
      </w:pPr>
      <w:r>
        <w:rPr>
          <w:b/>
          <w:color w:val="C2A76D"/>
          <w:sz w:val="22"/>
          <w:szCs w:val="22"/>
        </w:rPr>
        <w:t>3.1  Individual Consultation Process</w:t>
      </w:r>
    </w:p>
    <w:p>
      <w:pPr>
        <w:spacing w:after="100" w:before="0"/>
      </w:pPr>
      <w:r>
        <w:rPr>
          <w:color w:val="555555"/>
          <w:sz w:val="20"/>
          <w:szCs w:val="20"/>
        </w:rPr>
        <w:t xml:space="preserve">Every at-risk employee is entitled to individual consultation, regardless of whether collective consultation is also required. Consultation must be genuine — it must take place before a decision is made, and the employee must be given a real opportunity to propose alternatives.</w:t>
      </w:r>
    </w:p>
    <w:tbl>
      <w:tblPr>
        <w:tblStyle w:val="TableGrid"/>
        <w:tblW w:w="9746" w:type="dxa"/>
        <w:tblLook w:val="04A0"/>
      </w:tblPr>
      <w:tblGrid>
        <w:gridCol w:w="2400"/>
        <w:gridCol w:w="3200"/>
        <w:gridCol w:w="2200"/>
        <w:gridCol w:w="1946"/>
      </w:tblGrid>
      <w:tr>
        <w:tc>
          <w:tcPr>
            <w:tcW w:w="2400" w:type="dxa"/>
            <w:shd w:val="clear" w:color="auto" w:fill="1B2A4A"/>
            <w:tcMar>
              <w:top w:w="80" w:type="dxa"/>
              <w:left w:w="120" w:type="dxa"/>
              <w:bottom w:w="80" w:type="dxa"/>
              <w:right w:w="120" w:type="dxa"/>
            </w:tcMar>
          </w:tcPr>
          <w:p>
            <w:pPr>
              <w:spacing w:before="40" w:after="40"/>
            </w:pPr>
            <w:r>
              <w:rPr>
                <w:b/>
                <w:color w:val="FFFFFF"/>
                <w:sz w:val="18"/>
                <w:szCs w:val="18"/>
              </w:rPr>
              <w:t>Stage</w:t>
            </w:r>
          </w:p>
        </w:tc>
        <w:tc>
          <w:tcPr>
            <w:tcW w:w="3200" w:type="dxa"/>
            <w:shd w:val="clear" w:color="auto" w:fill="1B2A4A"/>
            <w:tcMar>
              <w:top w:w="80" w:type="dxa"/>
              <w:left w:w="120" w:type="dxa"/>
              <w:bottom w:w="80" w:type="dxa"/>
              <w:right w:w="120" w:type="dxa"/>
            </w:tcMar>
          </w:tcPr>
          <w:p>
            <w:pPr>
              <w:spacing w:before="40" w:after="40"/>
            </w:pPr>
            <w:r>
              <w:rPr>
                <w:b/>
                <w:color w:val="FFFFFF"/>
                <w:sz w:val="18"/>
                <w:szCs w:val="18"/>
              </w:rPr>
              <w:t>Required Content</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Timing</w:t>
            </w:r>
          </w:p>
        </w:tc>
        <w:tc>
          <w:tcPr>
            <w:tcW w:w="1946" w:type="dxa"/>
            <w:shd w:val="clear" w:color="auto" w:fill="1B2A4A"/>
            <w:tcMar>
              <w:top w:w="80" w:type="dxa"/>
              <w:left w:w="120" w:type="dxa"/>
              <w:bottom w:w="80" w:type="dxa"/>
              <w:right w:w="120" w:type="dxa"/>
            </w:tcMar>
          </w:tcPr>
          <w:p>
            <w:pPr>
              <w:spacing w:before="40" w:after="40"/>
            </w:pPr>
            <w:r>
              <w:rPr>
                <w:b/>
                <w:color w:val="FFFFFF"/>
                <w:sz w:val="18"/>
                <w:szCs w:val="18"/>
              </w:rPr>
              <w:t>Documentation</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At-risk notification meeting</w:t>
            </w:r>
          </w:p>
        </w:tc>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Inform individual they are at risk, explain the selection pool, provide written at-risk letter</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Before selection is finalised</w:t>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At-risk letter, meeting note</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Consultation meeting 1</w:t>
            </w:r>
          </w:p>
        </w:tc>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Discuss business case, selection criteria, alternative roles, individual representations</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Within at-risk period</w:t>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Meeting note</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Consultation meeting 2 (if needed)</w:t>
            </w:r>
          </w:p>
        </w:tc>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Review any representations made, confirm or update selection outcome</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Minimum 1 week after meeting 1</w:t>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Meeting note</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Decision notification</w:t>
            </w:r>
          </w:p>
        </w:tc>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Confirm outcome: selected for redundancy or retained; right to appeal</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After genuine consideration of representations</w:t>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Decision letter</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Appeal hearing (if requested)</w:t>
            </w:r>
          </w:p>
        </w:tc>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Consider appeal genuinely; confirm outcome in writing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Within 10 working days of appeal</w:t>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Appeal outcome letter</w:t>
            </w:r>
          </w:p>
        </w:tc>
      </w:tr>
    </w:tbl>
    <w:p>
      <w:pPr>
        <w:spacing w:after="80" w:before="0"/>
      </w:pPr>
    </w:p>
    <w:p>
      <w:pPr>
        <w:pStyle w:val="Heading2"/>
        <w:spacing w:before="160" w:after="60"/>
      </w:pPr>
      <w:r>
        <w:rPr>
          <w:b/>
          <w:color w:val="C2A76D"/>
          <w:sz w:val="22"/>
          <w:szCs w:val="22"/>
        </w:rPr>
        <w:t>3.2  Collective Consultation Requirements (20+ Redundancies)</w:t>
      </w:r>
    </w:p>
    <w:p>
      <w:pPr>
        <w:spacing w:after="100" w:before="0"/>
      </w:pPr>
      <w:r>
        <w:rPr>
          <w:color w:val="555555"/>
          <w:sz w:val="20"/>
          <w:szCs w:val="20"/>
        </w:rPr>
        <w:t xml:space="preserve">Where 20 or more redundancies are proposed within 90 days, the following apply in addition to individual consultation.</w:t>
      </w:r>
    </w:p>
    <w:tbl>
      <w:tblPr>
        <w:tblStyle w:val="TableGrid"/>
        <w:tblW w:w="9746" w:type="dxa"/>
        <w:tblLook w:val="04A0"/>
      </w:tblPr>
      <w:tblGrid>
        <w:gridCol w:w="3000"/>
        <w:gridCol w:w="4400"/>
        <w:gridCol w:w="2346"/>
      </w:tblGrid>
      <w:tr>
        <w:tc>
          <w:tcPr>
            <w:tcW w:w="3000" w:type="dxa"/>
            <w:shd w:val="clear" w:color="auto" w:fill="1B2A4A"/>
            <w:tcMar>
              <w:top w:w="80" w:type="dxa"/>
              <w:left w:w="120" w:type="dxa"/>
              <w:bottom w:w="80" w:type="dxa"/>
              <w:right w:w="120" w:type="dxa"/>
            </w:tcMar>
          </w:tcPr>
          <w:p>
            <w:pPr>
              <w:spacing w:before="40" w:after="40"/>
            </w:pPr>
            <w:r>
              <w:rPr>
                <w:b/>
                <w:color w:val="FFFFFF"/>
                <w:sz w:val="18"/>
                <w:szCs w:val="18"/>
              </w:rPr>
              <w:t>Obligation</w:t>
            </w:r>
          </w:p>
        </w:tc>
        <w:tc>
          <w:tcPr>
            <w:tcW w:w="4400" w:type="dxa"/>
            <w:shd w:val="clear" w:color="auto" w:fill="1B2A4A"/>
            <w:tcMar>
              <w:top w:w="80" w:type="dxa"/>
              <w:left w:w="120" w:type="dxa"/>
              <w:bottom w:w="80" w:type="dxa"/>
              <w:right w:w="120" w:type="dxa"/>
            </w:tcMar>
          </w:tcPr>
          <w:p>
            <w:pPr>
              <w:spacing w:before="40" w:after="40"/>
            </w:pPr>
            <w:r>
              <w:rPr>
                <w:b/>
                <w:color w:val="FFFFFF"/>
                <w:sz w:val="18"/>
                <w:szCs w:val="18"/>
              </w:rPr>
              <w:t>Detail</w:t>
            </w:r>
          </w:p>
        </w:tc>
        <w:tc>
          <w:tcPr>
            <w:tcW w:w="2346" w:type="dxa"/>
            <w:shd w:val="clear" w:color="auto" w:fill="1B2A4A"/>
            <w:tcMar>
              <w:top w:w="80" w:type="dxa"/>
              <w:left w:w="120" w:type="dxa"/>
              <w:bottom w:w="80" w:type="dxa"/>
              <w:right w:w="120" w:type="dxa"/>
            </w:tcMar>
          </w:tcPr>
          <w:p>
            <w:pPr>
              <w:spacing w:before="40" w:after="40"/>
            </w:pPr>
            <w:r>
              <w:rPr>
                <w:b/>
                <w:color w:val="FFFFFF"/>
                <w:sz w:val="18"/>
                <w:szCs w:val="18"/>
              </w:rPr>
              <w:t>Timescale</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Notify ACAS (HR1 form)</w:t>
            </w:r>
          </w:p>
        </w:tc>
        <w:tc>
          <w:tcPr>
            <w:tcW w:w="4400" w:type="dxa"/>
            <w:shd w:val="clear" w:color="auto" w:fill="FDF0D5"/>
            <w:tcMar>
              <w:top w:w="60" w:type="dxa"/>
              <w:left w:w="120" w:type="dxa"/>
              <w:bottom w:w="60" w:type="dxa"/>
              <w:right w:w="120" w:type="dxa"/>
            </w:tcMar>
          </w:tcPr>
          <w:p>
            <w:pPr>
              <w:spacing w:before="40" w:after="40"/>
            </w:pPr>
            <w:r>
              <w:rPr>
                <w:color w:val="555555"/>
                <w:sz w:val="18"/>
                <w:szCs w:val="18"/>
              </w:rPr>
              <w:t xml:space="preserve">Complete and submit HR1 form to ACAS before consultation begins</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30 days (20–99) / 45 days (100+) before first dismissal</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Elect or identify employee representatives</w:t>
            </w:r>
          </w:p>
        </w:tc>
        <w:tc>
          <w:tcPr>
            <w:tcW w:w="4400" w:type="dxa"/>
            <w:shd w:val="clear" w:color="auto" w:fill="FDF0D5"/>
            <w:tcMar>
              <w:top w:w="60" w:type="dxa"/>
              <w:left w:w="120" w:type="dxa"/>
              <w:bottom w:w="60" w:type="dxa"/>
              <w:right w:w="120" w:type="dxa"/>
            </w:tcMar>
          </w:tcPr>
          <w:p>
            <w:pPr>
              <w:spacing w:before="40" w:after="40"/>
            </w:pPr>
            <w:r>
              <w:rPr>
                <w:color w:val="555555"/>
                <w:sz w:val="18"/>
                <w:szCs w:val="18"/>
              </w:rPr>
              <w:t xml:space="preserve">If no recognised union, employees in affected area must elect representatives</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Before consultation begins</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Provide required information to representatives</w:t>
            </w:r>
          </w:p>
        </w:tc>
        <w:tc>
          <w:tcPr>
            <w:tcW w:w="4400" w:type="dxa"/>
            <w:shd w:val="clear" w:color="auto" w:fill="FDF0D5"/>
            <w:tcMar>
              <w:top w:w="60" w:type="dxa"/>
              <w:left w:w="120" w:type="dxa"/>
              <w:bottom w:w="60" w:type="dxa"/>
              <w:right w:w="120" w:type="dxa"/>
            </w:tcMar>
          </w:tcPr>
          <w:p>
            <w:pPr>
              <w:spacing w:before="40" w:after="40"/>
            </w:pPr>
            <w:r>
              <w:rPr>
                <w:color w:val="555555"/>
                <w:sz w:val="18"/>
                <w:szCs w:val="18"/>
              </w:rPr>
              <w:t xml:space="preserve">Business case, number and roles affected, selection method, consultation period, calculation of redundancy payments</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In writing, before consultation begins</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Consult meaningfully with representatives</w:t>
            </w:r>
          </w:p>
        </w:tc>
        <w:tc>
          <w:tcPr>
            <w:tcW w:w="4400" w:type="dxa"/>
            <w:shd w:val="clear" w:color="auto" w:fill="FDF0D5"/>
            <w:tcMar>
              <w:top w:w="60" w:type="dxa"/>
              <w:left w:w="120" w:type="dxa"/>
              <w:bottom w:w="60" w:type="dxa"/>
              <w:right w:w="120" w:type="dxa"/>
            </w:tcMar>
          </w:tcPr>
          <w:p>
            <w:pPr>
              <w:spacing w:before="40" w:after="40"/>
            </w:pPr>
            <w:r>
              <w:rPr>
                <w:color w:val="555555"/>
                <w:sz w:val="18"/>
                <w:szCs w:val="18"/>
              </w:rPr>
              <w:t xml:space="preserve">Discuss ways to avoid/reduce redundancies and mitigate consequences — must be genuine</w:t>
            </w:r>
          </w:p>
        </w:tc>
        <w:tc>
          <w:tcPr>
            <w:tcW w:w="2346" w:type="dxa"/>
            <w:shd w:val="clear" w:color="auto" w:fill="FDF0D5"/>
            <w:tcMar>
              <w:top w:w="60" w:type="dxa"/>
              <w:left w:w="120" w:type="dxa"/>
              <w:bottom w:w="60" w:type="dxa"/>
              <w:right w:w="120" w:type="dxa"/>
            </w:tcMar>
          </w:tcPr>
          <w:p>
            <w:pPr>
              <w:spacing w:before="40" w:after="40"/>
            </w:pPr>
            <w:r>
              <w:rPr>
                <w:color w:val="555555"/>
                <w:sz w:val="18"/>
                <w:szCs w:val="18"/>
              </w:rPr>
              <w:t xml:space="preserve">Throughout consultation period</w:t>
            </w:r>
          </w:p>
        </w:tc>
      </w:tr>
    </w:tbl>
    <w:p>
      <w:pPr>
        <w:spacing w:after="80" w:before="0"/>
      </w:pPr>
    </w:p>
    <w:p>
      <w:pPr>
        <w:pStyle w:val="Heading1"/>
        <w:spacing w:before="240" w:after="80"/>
      </w:pPr>
      <w:r>
        <w:rPr>
          <w:b/>
          <w:color w:val="1B2A4A"/>
          <w:sz w:val="28"/>
          <w:szCs w:val="28"/>
        </w:rPr>
        <w:t>Part 4 — Statutory Entitlements and Process</w:t>
      </w:r>
    </w:p>
    <w:p>
      <w:pPr>
        <w:pStyle w:val="Heading2"/>
        <w:spacing w:before="160" w:after="60"/>
      </w:pPr>
      <w:r>
        <w:rPr>
          <w:b/>
          <w:color w:val="C2A76D"/>
          <w:sz w:val="22"/>
          <w:szCs w:val="22"/>
        </w:rPr>
        <w:t>4.1  Statutory Redundancy Payment Calculation</w:t>
      </w:r>
    </w:p>
    <w:p>
      <w:pPr>
        <w:spacing w:after="100" w:before="0"/>
      </w:pPr>
      <w:r>
        <w:rPr>
          <w:color w:val="555555"/>
          <w:sz w:val="20"/>
          <w:szCs w:val="20"/>
        </w:rPr>
        <w:t xml:space="preserve">Statutory Redundancy Pay (SRP) applies to employees with at least 2 years' continuous service. Weekly pay is capped at the current statutory limit (confirm current figure with HR). Check whether enhanced contractual redundancy applies.</w:t>
      </w:r>
    </w:p>
    <w:tbl>
      <w:tblPr>
        <w:tblStyle w:val="TableGrid"/>
        <w:tblW w:w="9746" w:type="dxa"/>
        <w:tblLook w:val="04A0"/>
      </w:tblPr>
      <w:tblGrid>
        <w:gridCol w:w="3200"/>
        <w:gridCol w:w="4000"/>
        <w:gridCol w:w="2546"/>
      </w:tblGrid>
      <w:tr>
        <w:tc>
          <w:tcPr>
            <w:tcW w:w="3200" w:type="dxa"/>
            <w:shd w:val="clear" w:color="auto" w:fill="1B2A4A"/>
            <w:tcMar>
              <w:top w:w="80" w:type="dxa"/>
              <w:left w:w="120" w:type="dxa"/>
              <w:bottom w:w="80" w:type="dxa"/>
              <w:right w:w="120" w:type="dxa"/>
            </w:tcMar>
          </w:tcPr>
          <w:p>
            <w:pPr>
              <w:spacing w:before="40" w:after="40"/>
            </w:pPr>
            <w:r>
              <w:rPr>
                <w:b/>
                <w:color w:val="FFFFFF"/>
                <w:sz w:val="18"/>
                <w:szCs w:val="18"/>
              </w:rPr>
              <w:t>Service Band</w:t>
            </w:r>
          </w:p>
        </w:tc>
        <w:tc>
          <w:tcPr>
            <w:tcW w:w="4000" w:type="dxa"/>
            <w:shd w:val="clear" w:color="auto" w:fill="1B2A4A"/>
            <w:tcMar>
              <w:top w:w="80" w:type="dxa"/>
              <w:left w:w="120" w:type="dxa"/>
              <w:bottom w:w="80" w:type="dxa"/>
              <w:right w:w="120" w:type="dxa"/>
            </w:tcMar>
          </w:tcPr>
          <w:p>
            <w:pPr>
              <w:spacing w:before="40" w:after="40"/>
            </w:pPr>
            <w:r>
              <w:rPr>
                <w:b/>
                <w:color w:val="FFFFFF"/>
                <w:sz w:val="18"/>
                <w:szCs w:val="18"/>
              </w:rPr>
              <w:t>SRP Calculation (per year of qualifying service)</w:t>
            </w:r>
          </w:p>
        </w:tc>
        <w:tc>
          <w:tcPr>
            <w:tcW w:w="2546" w:type="dxa"/>
            <w:shd w:val="clear" w:color="auto" w:fill="1B2A4A"/>
            <w:tcMar>
              <w:top w:w="80" w:type="dxa"/>
              <w:left w:w="120" w:type="dxa"/>
              <w:bottom w:w="80" w:type="dxa"/>
              <w:right w:w="120" w:type="dxa"/>
            </w:tcMar>
          </w:tcPr>
          <w:p>
            <w:pPr>
              <w:spacing w:before="40" w:after="40"/>
            </w:pPr>
            <w:r>
              <w:rPr>
                <w:b/>
                <w:color w:val="FFFFFF"/>
                <w:sz w:val="18"/>
                <w:szCs w:val="18"/>
              </w:rPr>
              <w:t>Notes</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Under 22 years of age</w:t>
            </w:r>
          </w:p>
        </w:tc>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0.5 weeks' pay per year</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Capped at statutory weekly pay limit</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22–40 years of age</w:t>
            </w:r>
          </w:p>
        </w:tc>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1 week's pay per year</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Capped at statutory weekly pay limit</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41 years of age or over</w:t>
            </w:r>
          </w:p>
        </w:tc>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1.5 weeks' pay per year</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Capped at statutory weekly pay limit; max 20 years service counts</w:t>
            </w:r>
          </w:p>
        </w:tc>
      </w:tr>
    </w:tbl>
    <w:p>
      <w:pPr>
        <w:spacing w:after="80" w:before="0"/>
      </w:pPr>
    </w:p>
    <w:p>
      <w:pPr>
        <w:pStyle w:val="Heading2"/>
        <w:spacing w:before="160" w:after="60"/>
      </w:pPr>
      <w:r>
        <w:rPr>
          <w:b/>
          <w:color w:val="C2A76D"/>
          <w:sz w:val="22"/>
          <w:szCs w:val="22"/>
        </w:rPr>
        <w:t>4.2  Final Settlement Checklist</w:t>
      </w:r>
    </w:p>
    <w:tbl>
      <w:tblPr>
        <w:tblStyle w:val="TableGrid"/>
        <w:tblW w:w="9746" w:type="dxa"/>
        <w:tblLook w:val="04A0"/>
      </w:tblPr>
      <w:tblGrid>
        <w:gridCol w:w="3000"/>
        <w:gridCol w:w="1600"/>
        <w:gridCol w:w="2000"/>
        <w:gridCol w:w="3146"/>
      </w:tblGrid>
      <w:tr>
        <w:tc>
          <w:tcPr>
            <w:tcW w:w="3000" w:type="dxa"/>
            <w:shd w:val="clear" w:color="auto" w:fill="1B2A4A"/>
            <w:tcMar>
              <w:top w:w="80" w:type="dxa"/>
              <w:left w:w="120" w:type="dxa"/>
              <w:bottom w:w="80" w:type="dxa"/>
              <w:right w:w="120" w:type="dxa"/>
            </w:tcMar>
          </w:tcPr>
          <w:p>
            <w:pPr>
              <w:spacing w:before="40" w:after="40"/>
            </w:pPr>
            <w:r>
              <w:rPr>
                <w:b/>
                <w:color w:val="FFFFFF"/>
                <w:sz w:val="18"/>
                <w:szCs w:val="18"/>
              </w:rPr>
              <w:t>Entitlement</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Calculated?</w:t>
            </w:r>
          </w:p>
        </w:tc>
        <w:tc>
          <w:tcPr>
            <w:tcW w:w="2000" w:type="dxa"/>
            <w:shd w:val="clear" w:color="auto" w:fill="1B2A4A"/>
            <w:tcMar>
              <w:top w:w="80" w:type="dxa"/>
              <w:left w:w="120" w:type="dxa"/>
              <w:bottom w:w="80" w:type="dxa"/>
              <w:right w:w="120" w:type="dxa"/>
            </w:tcMar>
          </w:tcPr>
          <w:p>
            <w:pPr>
              <w:spacing w:before="40" w:after="40"/>
            </w:pPr>
            <w:r>
              <w:rPr>
                <w:b/>
                <w:color w:val="FFFFFF"/>
                <w:sz w:val="18"/>
                <w:szCs w:val="18"/>
              </w:rPr>
              <w:t>Amount</w:t>
            </w:r>
          </w:p>
        </w:tc>
        <w:tc>
          <w:tcPr>
            <w:tcW w:w="3146" w:type="dxa"/>
            <w:shd w:val="clear" w:color="auto" w:fill="1B2A4A"/>
            <w:tcMar>
              <w:top w:w="80" w:type="dxa"/>
              <w:left w:w="120" w:type="dxa"/>
              <w:bottom w:w="80" w:type="dxa"/>
              <w:right w:w="120" w:type="dxa"/>
            </w:tcMar>
          </w:tcPr>
          <w:p>
            <w:pPr>
              <w:spacing w:before="40" w:after="40"/>
            </w:pPr>
            <w:r>
              <w:rPr>
                <w:b/>
                <w:color w:val="FFFFFF"/>
                <w:sz w:val="18"/>
                <w:szCs w:val="18"/>
              </w:rPr>
              <w:t>Included in Settlement?</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Statutory redundancy payment</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t>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Enhanced redundancy payment (contractual)</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t>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Notice pay (worked or paid in lieu)</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t>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Accrued holiday pay</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t>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Outstanding expenses or commission</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t>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Ex-gratia payment (if any — confirm tax treatment)</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t>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r>
    </w:tbl>
    <w:p>
      <w:pPr>
        <w:spacing w:after="80" w:before="0"/>
      </w:pPr>
    </w:p>
    <w:p>
      <w:pPr>
        <w:pStyle w:val="Heading1"/>
        <w:spacing w:before="240" w:after="80"/>
      </w:pPr>
      <w:r>
        <w:rPr>
          <w:b/>
          <w:color w:val="1B2A4A"/>
          <w:sz w:val="28"/>
          <w:szCs w:val="28"/>
        </w:rPr>
        <w:t>Part 5 — Gambling Regulatory Obligations</w:t>
      </w:r>
    </w:p>
    <w:p>
      <w:pPr>
        <w:spacing w:after="100" w:before="0"/>
      </w:pPr>
      <w:r>
        <w:rPr>
          <w:color w:val="555555"/>
          <w:sz w:val="20"/>
          <w:szCs w:val="20"/>
        </w:rPr>
        <w:t xml:space="preserve">Where the redundancy affects roles with gambling regulatory significance, additional steps are required alongside the standard HR process.</w:t>
      </w:r>
    </w:p>
    <w:p>
      <w:pPr>
        <w:spacing w:after="80" w:before="0"/>
      </w:pPr>
    </w:p>
    <w:p>
      <w:pPr>
        <w:pStyle w:val="Heading2"/>
        <w:spacing w:before="160" w:after="60"/>
      </w:pPr>
      <w:r>
        <w:rPr>
          <w:b/>
          <w:color w:val="C2A76D"/>
          <w:sz w:val="22"/>
          <w:szCs w:val="22"/>
        </w:rPr>
        <w:t>5.1  Regulatory Role Impact Assessment</w:t>
      </w:r>
    </w:p>
    <w:tbl>
      <w:tblPr>
        <w:tblStyle w:val="TableGrid"/>
        <w:tblW w:w="9746" w:type="dxa"/>
        <w:tblLook w:val="04A0"/>
      </w:tblPr>
      <w:tblGrid>
        <w:gridCol w:w="4000"/>
        <w:gridCol w:w="1600"/>
        <w:gridCol w:w="4146"/>
      </w:tblGrid>
      <w:tr>
        <w:tc>
          <w:tcPr>
            <w:tcW w:w="4000" w:type="dxa"/>
            <w:shd w:val="clear" w:color="auto" w:fill="1B2A4A"/>
            <w:tcMar>
              <w:top w:w="80" w:type="dxa"/>
              <w:left w:w="120" w:type="dxa"/>
              <w:bottom w:w="80" w:type="dxa"/>
              <w:right w:w="120" w:type="dxa"/>
            </w:tcMar>
          </w:tcPr>
          <w:p>
            <w:pPr>
              <w:spacing w:before="40" w:after="40"/>
            </w:pPr>
            <w:r>
              <w:rPr>
                <w:b/>
                <w:color w:val="FFFFFF"/>
                <w:sz w:val="18"/>
                <w:szCs w:val="18"/>
              </w:rPr>
              <w:t>Check</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Required?</w:t>
            </w:r>
          </w:p>
        </w:tc>
        <w:tc>
          <w:tcPr>
            <w:tcW w:w="4146" w:type="dxa"/>
            <w:shd w:val="clear" w:color="auto" w:fill="1B2A4A"/>
            <w:tcMar>
              <w:top w:w="80" w:type="dxa"/>
              <w:left w:w="120" w:type="dxa"/>
              <w:bottom w:w="80" w:type="dxa"/>
              <w:right w:w="120" w:type="dxa"/>
            </w:tcMar>
          </w:tcPr>
          <w:p>
            <w:pPr>
              <w:spacing w:before="40" w:after="40"/>
            </w:pPr>
            <w:r>
              <w:rPr>
                <w:b/>
                <w:color w:val="FFFFFF"/>
                <w:sz w:val="18"/>
                <w:szCs w:val="18"/>
              </w:rPr>
              <w:t>Action</w:t>
            </w:r>
          </w:p>
        </w:tc>
      </w:tr>
      <w:tr>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Does the affected role include a PML holder?</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4146" w:type="dxa"/>
            <w:shd w:val="clear" w:color="auto" w:fill="FDF0D5"/>
            <w:tcMar>
              <w:top w:w="60" w:type="dxa"/>
              <w:left w:w="120" w:type="dxa"/>
              <w:bottom w:w="60" w:type="dxa"/>
              <w:right w:w="120" w:type="dxa"/>
            </w:tcMar>
          </w:tcPr>
          <w:p>
            <w:pPr>
              <w:spacing w:before="40" w:after="40"/>
            </w:pPr>
            <w:r>
              <w:rPr>
                <w:color w:val="555555"/>
                <w:sz w:val="18"/>
                <w:szCs w:val="18"/>
              </w:rPr>
              <w:t xml:space="preserve">Gambling Commission notification — 5 working days (LCCP LC 15.2.1)</w:t>
            </w:r>
          </w:p>
        </w:tc>
      </w:tr>
      <w:tr>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Does the affected role include a key individual (KI)?</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4146" w:type="dxa"/>
            <w:shd w:val="clear" w:color="auto" w:fill="FDF0D5"/>
            <w:tcMar>
              <w:top w:w="60" w:type="dxa"/>
              <w:left w:w="120" w:type="dxa"/>
              <w:bottom w:w="60" w:type="dxa"/>
              <w:right w:w="120" w:type="dxa"/>
            </w:tcMar>
          </w:tcPr>
          <w:p>
            <w:pPr>
              <w:spacing w:before="40" w:after="40"/>
            </w:pPr>
            <w:r>
              <w:rPr>
                <w:color w:val="555555"/>
                <w:sz w:val="18"/>
                <w:szCs w:val="18"/>
              </w:rPr>
              <w:t xml:space="preserve">Gambling Commission notification — 5 working days</w:t>
            </w:r>
          </w:p>
        </w:tc>
      </w:tr>
      <w:tr>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Does the affected role carry LCCP compliance responsibilities?</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4146" w:type="dxa"/>
            <w:shd w:val="clear" w:color="auto" w:fill="FDF0D5"/>
            <w:tcMar>
              <w:top w:w="60" w:type="dxa"/>
              <w:left w:w="120" w:type="dxa"/>
              <w:bottom w:w="60" w:type="dxa"/>
              <w:right w:w="120" w:type="dxa"/>
            </w:tcMar>
          </w:tcPr>
          <w:p>
            <w:pPr>
              <w:spacing w:before="40" w:after="40"/>
            </w:pPr>
            <w:r>
              <w:rPr>
                <w:color w:val="555555"/>
                <w:sz w:val="18"/>
                <w:szCs w:val="18"/>
              </w:rPr>
              <w:t xml:space="preserve">Interim coverage plan required (Part 3 operational arrangements)</w:t>
            </w:r>
          </w:p>
        </w:tc>
      </w:tr>
      <w:tr>
        <w:tc>
          <w:tcPr>
            <w:tcW w:w="4000" w:type="dxa"/>
            <w:shd w:val="clear" w:color="auto" w:fill="FDF0D5"/>
            <w:tcMar>
              <w:top w:w="60" w:type="dxa"/>
              <w:left w:w="120" w:type="dxa"/>
              <w:bottom w:w="60" w:type="dxa"/>
              <w:right w:w="120" w:type="dxa"/>
            </w:tcMar>
          </w:tcPr>
          <w:p>
            <w:pPr>
              <w:spacing w:before="40" w:after="40"/>
            </w:pPr>
            <w:r>
              <w:rPr>
                <w:color w:val="555555"/>
                <w:sz w:val="18"/>
                <w:szCs w:val="18"/>
              </w:rPr>
              <w:t xml:space="preserve">Does the reduction create a compliance function gap?</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Yes / No</w:t>
            </w:r>
          </w:p>
        </w:tc>
        <w:tc>
          <w:tcPr>
            <w:tcW w:w="4146" w:type="dxa"/>
            <w:shd w:val="clear" w:color="auto" w:fill="FDF0D5"/>
            <w:tcMar>
              <w:top w:w="60" w:type="dxa"/>
              <w:left w:w="120" w:type="dxa"/>
              <w:bottom w:w="60" w:type="dxa"/>
              <w:right w:w="120" w:type="dxa"/>
            </w:tcMar>
          </w:tcPr>
          <w:p>
            <w:pPr>
              <w:spacing w:before="40" w:after="40"/>
            </w:pPr>
            <w:r>
              <w:rPr>
                <w:color w:val="555555"/>
                <w:sz w:val="18"/>
                <w:szCs w:val="18"/>
              </w:rPr>
              <w:t xml:space="preserve">Risk assessment required; escalate to Compliance Director</w:t>
            </w:r>
          </w:p>
        </w:tc>
      </w:tr>
    </w:tbl>
    <w:p>
      <w:pPr>
        <w:spacing w:after="80" w:before="0"/>
      </w:pPr>
    </w:p>
    <w:p>
      <w:pPr>
        <w:spacing w:after="100" w:before="0"/>
      </w:pPr>
      <w:r>
        <w:rPr>
          <w:color w:val="555555"/>
          <w:sz w:val="20"/>
          <w:szCs w:val="20"/>
        </w:rPr>
        <w:t xml:space="preserve">Note: Notification to the Gambling Commission of a PML holder's departure must be made regardless of the reason for departure. Redundancy does not exempt this obligation. Use the Fit and Proper Person Management Framework, Part 5, for notification.</w:t>
      </w:r>
    </w:p>
    <w:p>
      <w:pPr>
        <w:spacing w:after="80" w:before="0"/>
      </w:pPr>
    </w:p>
    <w:p>
      <w:pPr>
        <w:pStyle w:val="Heading1"/>
        <w:spacing w:before="240" w:after="80"/>
      </w:pPr>
      <w:r>
        <w:rPr>
          <w:b/>
          <w:color w:val="1B2A4A"/>
          <w:sz w:val="28"/>
          <w:szCs w:val="28"/>
        </w:rPr>
        <w:t>Part 6 — Communications and Remaining Team</w:t>
      </w:r>
    </w:p>
    <w:p>
      <w:pPr>
        <w:pStyle w:val="Heading2"/>
        <w:spacing w:before="160" w:after="60"/>
      </w:pPr>
      <w:r>
        <w:rPr>
          <w:b/>
          <w:color w:val="C2A76D"/>
          <w:sz w:val="22"/>
          <w:szCs w:val="22"/>
        </w:rPr>
        <w:t>6.1  Communications Timeline</w:t>
      </w:r>
    </w:p>
    <w:tbl>
      <w:tblPr>
        <w:tblStyle w:val="TableGrid"/>
        <w:tblW w:w="9746" w:type="dxa"/>
        <w:tblLook w:val="04A0"/>
      </w:tblPr>
      <w:tblGrid>
        <w:gridCol w:w="2400"/>
        <w:gridCol w:w="2000"/>
        <w:gridCol w:w="3600"/>
        <w:gridCol w:w="1746"/>
      </w:tblGrid>
      <w:tr>
        <w:tc>
          <w:tcPr>
            <w:tcW w:w="2400" w:type="dxa"/>
            <w:shd w:val="clear" w:color="auto" w:fill="1B2A4A"/>
            <w:tcMar>
              <w:top w:w="80" w:type="dxa"/>
              <w:left w:w="120" w:type="dxa"/>
              <w:bottom w:w="80" w:type="dxa"/>
              <w:right w:w="120" w:type="dxa"/>
            </w:tcMar>
          </w:tcPr>
          <w:p>
            <w:pPr>
              <w:spacing w:before="40" w:after="40"/>
            </w:pPr>
            <w:r>
              <w:rPr>
                <w:b/>
                <w:color w:val="FFFFFF"/>
                <w:sz w:val="18"/>
                <w:szCs w:val="18"/>
              </w:rPr>
              <w:t>Audience</w:t>
            </w:r>
          </w:p>
        </w:tc>
        <w:tc>
          <w:tcPr>
            <w:tcW w:w="2000" w:type="dxa"/>
            <w:shd w:val="clear" w:color="auto" w:fill="1B2A4A"/>
            <w:tcMar>
              <w:top w:w="80" w:type="dxa"/>
              <w:left w:w="120" w:type="dxa"/>
              <w:bottom w:w="80" w:type="dxa"/>
              <w:right w:w="120" w:type="dxa"/>
            </w:tcMar>
          </w:tcPr>
          <w:p>
            <w:pPr>
              <w:spacing w:before="40" w:after="40"/>
            </w:pPr>
            <w:r>
              <w:rPr>
                <w:b/>
                <w:color w:val="FFFFFF"/>
                <w:sz w:val="18"/>
                <w:szCs w:val="18"/>
              </w:rPr>
              <w:t>Timing</w:t>
            </w:r>
          </w:p>
        </w:tc>
        <w:tc>
          <w:tcPr>
            <w:tcW w:w="3600" w:type="dxa"/>
            <w:shd w:val="clear" w:color="auto" w:fill="1B2A4A"/>
            <w:tcMar>
              <w:top w:w="80" w:type="dxa"/>
              <w:left w:w="120" w:type="dxa"/>
              <w:bottom w:w="80" w:type="dxa"/>
              <w:right w:w="120" w:type="dxa"/>
            </w:tcMar>
          </w:tcPr>
          <w:p>
            <w:pPr>
              <w:spacing w:before="40" w:after="40"/>
            </w:pPr>
            <w:r>
              <w:rPr>
                <w:b/>
                <w:color w:val="FFFFFF"/>
                <w:sz w:val="18"/>
                <w:szCs w:val="18"/>
              </w:rPr>
              <w:t>Message</w:t>
            </w:r>
          </w:p>
        </w:tc>
        <w:tc>
          <w:tcPr>
            <w:tcW w:w="1746" w:type="dxa"/>
            <w:shd w:val="clear" w:color="auto" w:fill="1B2A4A"/>
            <w:tcMar>
              <w:top w:w="80" w:type="dxa"/>
              <w:left w:w="120" w:type="dxa"/>
              <w:bottom w:w="80" w:type="dxa"/>
              <w:right w:w="120" w:type="dxa"/>
            </w:tcMar>
          </w:tcPr>
          <w:p>
            <w:pPr>
              <w:spacing w:before="40" w:after="40"/>
            </w:pPr>
            <w:r>
              <w:rPr>
                <w:b/>
                <w:color w:val="FFFFFF"/>
                <w:sz w:val="18"/>
                <w:szCs w:val="18"/>
              </w:rPr>
              <w:t>Owner</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Affected individuals</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Before any wider announcement</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Individual at-risk notification, process explained, support offered</w:t>
            </w:r>
          </w:p>
        </w:tc>
        <w:tc>
          <w:tcPr>
            <w:tcW w:w="1746" w:type="dxa"/>
            <w:shd w:val="clear" w:color="auto" w:fill="FDF0D5"/>
            <w:tcMar>
              <w:top w:w="60" w:type="dxa"/>
              <w:left w:w="120" w:type="dxa"/>
              <w:bottom w:w="60" w:type="dxa"/>
              <w:right w:w="120" w:type="dxa"/>
            </w:tcMar>
          </w:tcPr>
          <w:p>
            <w:pPr>
              <w:spacing w:before="40" w:after="40"/>
            </w:pPr>
            <w:r>
              <w:rPr>
                <w:color w:val="555555"/>
                <w:sz w:val="18"/>
                <w:szCs w:val="18"/>
              </w:rPr>
              <w:t xml:space="preserve">HR Director + line manager</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Remaining team members</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Same day as affected individuals are notified</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Business rationale, support for those leaving, next steps for the team</w:t>
            </w:r>
          </w:p>
        </w:tc>
        <w:tc>
          <w:tcPr>
            <w:tcW w:w="1746" w:type="dxa"/>
            <w:shd w:val="clear" w:color="auto" w:fill="FDF0D5"/>
            <w:tcMar>
              <w:top w:w="60" w:type="dxa"/>
              <w:left w:w="120" w:type="dxa"/>
              <w:bottom w:w="60" w:type="dxa"/>
              <w:right w:w="120" w:type="dxa"/>
            </w:tcMar>
          </w:tcPr>
          <w:p>
            <w:pPr>
              <w:spacing w:before="40" w:after="40"/>
            </w:pPr>
            <w:r>
              <w:rPr>
                <w:color w:val="555555"/>
                <w:sz w:val="18"/>
                <w:szCs w:val="18"/>
              </w:rPr>
              <w:t xml:space="preserve">Line manager + senior leadership</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Gambling Commission (if applicable)</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Within 5 working days of departure</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PML/KI notification</w:t>
            </w:r>
          </w:p>
        </w:tc>
        <w:tc>
          <w:tcPr>
            <w:tcW w:w="1746" w:type="dxa"/>
            <w:shd w:val="clear" w:color="auto" w:fill="FDF0D5"/>
            <w:tcMar>
              <w:top w:w="60" w:type="dxa"/>
              <w:left w:w="120" w:type="dxa"/>
              <w:bottom w:w="60" w:type="dxa"/>
              <w:right w:w="120" w:type="dxa"/>
            </w:tcMar>
          </w:tcPr>
          <w:p>
            <w:pPr>
              <w:spacing w:before="40" w:after="40"/>
            </w:pPr>
            <w:r>
              <w:rPr>
                <w:color w:val="555555"/>
                <w:sz w:val="18"/>
                <w:szCs w:val="18"/>
              </w:rPr>
              <w:t xml:space="preserve">Compliance Director</w:t>
            </w:r>
          </w:p>
        </w:tc>
      </w:tr>
      <w:tr>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Board</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Before public announcement</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Summary of process, legal compliance confirmed, reputational risk assessment</w:t>
            </w:r>
          </w:p>
        </w:tc>
        <w:tc>
          <w:tcPr>
            <w:tcW w:w="1746" w:type="dxa"/>
            <w:shd w:val="clear" w:color="auto" w:fill="FDF0D5"/>
            <w:tcMar>
              <w:top w:w="60" w:type="dxa"/>
              <w:left w:w="120" w:type="dxa"/>
              <w:bottom w:w="60" w:type="dxa"/>
              <w:right w:w="120" w:type="dxa"/>
            </w:tcMar>
          </w:tcPr>
          <w:p>
            <w:pPr>
              <w:spacing w:before="40" w:after="40"/>
            </w:pPr>
            <w:r>
              <w:rPr>
                <w:color w:val="555555"/>
                <w:sz w:val="18"/>
                <w:szCs w:val="18"/>
              </w:rPr>
              <w:t xml:space="preserve">CEO + HR Director</w:t>
            </w:r>
          </w:p>
        </w:tc>
      </w:tr>
    </w:tbl>
    <w:p>
      <w:pPr>
        <w:spacing w:after="80" w:before="0"/>
      </w:pPr>
    </w:p>
    <w:p>
      <w:pPr>
        <w:pStyle w:val="Heading2"/>
        <w:spacing w:before="160" w:after="60"/>
      </w:pPr>
      <w:r>
        <w:rPr>
          <w:b/>
          <w:color w:val="C2A76D"/>
          <w:sz w:val="22"/>
          <w:szCs w:val="22"/>
        </w:rPr>
        <w:t>6.2  Remaining Team Support Actions</w:t>
      </w:r>
    </w:p>
    <w:tbl>
      <w:tblPr>
        <w:tblStyle w:val="TableGrid"/>
        <w:tblW w:w="9746" w:type="dxa"/>
        <w:tblLook w:val="04A0"/>
      </w:tblPr>
      <w:tblGrid>
        <w:gridCol w:w="3400"/>
        <w:gridCol w:w="2200"/>
        <w:gridCol w:w="2000"/>
        <w:gridCol w:w="2146"/>
      </w:tblGrid>
      <w:tr>
        <w:tc>
          <w:tcPr>
            <w:tcW w:w="3400" w:type="dxa"/>
            <w:shd w:val="clear" w:color="auto" w:fill="1B2A4A"/>
            <w:tcMar>
              <w:top w:w="80" w:type="dxa"/>
              <w:left w:w="120" w:type="dxa"/>
              <w:bottom w:w="80" w:type="dxa"/>
              <w:right w:w="120" w:type="dxa"/>
            </w:tcMar>
          </w:tcPr>
          <w:p>
            <w:pPr>
              <w:spacing w:before="40" w:after="40"/>
            </w:pPr>
            <w:r>
              <w:rPr>
                <w:b/>
                <w:color w:val="FFFFFF"/>
                <w:sz w:val="18"/>
                <w:szCs w:val="18"/>
              </w:rPr>
              <w:t>Action</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Owner</w:t>
            </w:r>
          </w:p>
        </w:tc>
        <w:tc>
          <w:tcPr>
            <w:tcW w:w="2000" w:type="dxa"/>
            <w:shd w:val="clear" w:color="auto" w:fill="1B2A4A"/>
            <w:tcMar>
              <w:top w:w="80" w:type="dxa"/>
              <w:left w:w="120" w:type="dxa"/>
              <w:bottom w:w="80" w:type="dxa"/>
              <w:right w:w="120" w:type="dxa"/>
            </w:tcMar>
          </w:tcPr>
          <w:p>
            <w:pPr>
              <w:spacing w:before="40" w:after="40"/>
            </w:pPr>
            <w:r>
              <w:rPr>
                <w:b/>
                <w:color w:val="FFFFFF"/>
                <w:sz w:val="18"/>
                <w:szCs w:val="18"/>
              </w:rPr>
              <w:t>Due Date</w:t>
            </w:r>
          </w:p>
        </w:tc>
        <w:tc>
          <w:tcPr>
            <w:tcW w:w="2146" w:type="dxa"/>
            <w:shd w:val="clear" w:color="auto" w:fill="1B2A4A"/>
            <w:tcMar>
              <w:top w:w="80" w:type="dxa"/>
              <w:left w:w="120" w:type="dxa"/>
              <w:bottom w:w="80" w:type="dxa"/>
              <w:right w:w="120" w:type="dxa"/>
            </w:tcMar>
          </w:tcPr>
          <w:p>
            <w:pPr>
              <w:spacing w:before="40" w:after="40"/>
            </w:pPr>
            <w:r>
              <w:rPr>
                <w:b/>
                <w:color w:val="FFFFFF"/>
                <w:sz w:val="18"/>
                <w:szCs w:val="18"/>
              </w:rPr>
              <w:t>Done</w:t>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Team briefing from senior leadership — honest, clear, direct</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Workload redistribution plan confirmed — no unrealistic expectations set</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Retention risk assessment — key performers most at risk of exit post-redundancy</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EAP (Employee Assistance Programme) communicated to all staff</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30-day check-in scheduled with team managers</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sectPr>
      <w:footerReference w:type="default" r:id="rId4"/>
      <w:headerReference w:type="default" r:id="rId3"/>
      <w:pgSz w:w="11906" w:h="16838"/>
      <w:pgMar w:top="1080" w:right="1080" w:bottom="1080" w:left="1080" w:header="708" w:footer="708" w:gutter="0"/>
    </w:sectPr>
  </w:body>
</w:document>
</file>

<file path=word/footer1.xml><?xml version="1.0" encoding="utf-8"?>
<w:ftr xmlns:w="http://schemas.openxmlformats.org/wordprocessingml/2006/main">
  <w:p>
    <w:pPr>
      <w:pBdr>
        <w:top w:val="single" w:color="C2A76D" w:sz="4" w:space="4"/>
      </w:pBdr>
      <w:spacing w:before="60" w:after="0"/>
      <w:jc w:val="left"/>
    </w:pPr>
    <w:r>
      <w:rPr>
        <w:rFonts w:ascii="Arial" w:cs="Arial" w:hAnsi="Arial"/>
        <w:color w:val="777777"/>
        <w:sz w:val="14"/>
        <w:szCs w:val="14"/>
      </w:rPr>
      <w:t xml:space="preserve">DISCLAIMER: This tool is provided for informational and planning purposes only. It does not constitute legal, financial, regulatory, or professional advice. The Gaming Boardroom accepts no liability for any decisions made or actions taken in reliance on this material. Before implementing any recommendations or using outputs in regulatory, legal, financial, or compliance contexts, you should seek qualified professional advice appropriate to your specific circumstances and jurisdiction.</w:t>
    </w:r>
  </w:p>
</w:ftr>
</file>

<file path=word/header1.xml><?xml version="1.0" encoding="utf-8"?>
<w:hdr xmlns:r="http://schemas.openxmlformats.org/officeDocument/2006/relationships" xmlns:wp="http://schemas.openxmlformats.org/drawingml/2006/wordprocessingDrawing" xmlns:a="http://schemas.openxmlformats.org/drawingml/2006/main" xmlns:pic="http://schemas.openxmlformats.org/drawingml/2006/picture" xmlns:w="http://schemas.openxmlformats.org/wordprocessingml/2006/main">
  <w:p>
    <w:pPr>
      <w:pBdr>
        <w:bottom w:val="single" w:color="C2A76D" w:sz="10" w:space="6"/>
      </w:pBdr>
      <w:tabs>
        <w:tab w:val="right" w:pos="9746"/>
      </w:tabs>
      <w:spacing w:after="80"/>
    </w:pPr>
    <w:r>
      <w:drawing>
        <wp:inline distT="0" distB="0" distL="0" distR="0">
          <wp:extent cx="1409700" cy="495300"/>
          <wp:effectExtent t="0" r="0" b="0" l="0"/>
          <wp:docPr id="1" name="TGB Logo" descr="TGB Logo" title="The Gaming Boardroom"/>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_LOGO" cstate="none"/>
                  <a:srcRect/>
                  <a:stretch>
                    <a:fillRect/>
                  </a:stretch>
                </pic:blipFill>
                <pic:spPr bwMode="auto">
                  <a:xfrm>
                    <a:off x="0" y="0"/>
                    <a:ext cx="1409700" cy="495300"/>
                  </a:xfrm>
                  <a:prstGeom prst="rect">
                    <a:avLst/>
                  </a:prstGeom>
                </pic:spPr>
              </pic:pic>
            </a:graphicData>
          </a:graphic>
        </wp:inline>
      </w:drawing>
    </w:r>
    <w:r>
      <w:rPr>
        <w:rFonts w:ascii="Arial" w:cs="Arial" w:eastAsia="Arial" w:hAnsi="Arial"/>
        <w:b/>
        <w:bCs/>
        <w:color w:val="1B2A4A"/>
        <w:sz w:val="20"/>
        <w:szCs w:val="20"/>
      </w:rPr>
      <w:t xml:space="preserve">	Workforce Reduction and Redundancy Management Framework</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sz w:val="20"/>
        <w:szCs w:val="20"/>
        <w:color w:val="555555"/>
      </w:rPr>
    </w:rPrDefault>
  </w:docDefaults>
  <w:style w:type="paragraph" w:styleId="Normal">
    <w:name w:val="Normal"/>
    <w:pPr>
      <w:spacing w:after="120" w:before="0"/>
    </w:pPr>
  </w:style>
  <w:style w:type="paragraph" w:styleId="Heading1">
    <w:name w:val="heading 1"/>
    <w:pPr>
      <w:spacing w:before="240" w:after="80"/>
      <w:outlineLvl w:val="0"/>
    </w:pPr>
    <w:rPr>
      <w:b/>
      <w:color w:val="1B2A4A"/>
      <w:sz w:val="28"/>
      <w:szCs w:val="28"/>
    </w:rPr>
  </w:style>
  <w:style w:type="paragraph" w:styleId="Heading2">
    <w:name w:val="heading 2"/>
    <w:pPr>
      <w:spacing w:before="160" w:after="60"/>
    </w:pPr>
    <w:rPr>
      <w:b/>
      <w:color w:val="C2A76D"/>
      <w:sz w:val="22"/>
      <w:szCs w:val="22"/>
    </w:rPr>
  </w:style>
  <w:style w:type="table" w:styleId="TableGrid">
    <w:name w:val="Table 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s>
</file>

<file path=word/_rels/footer1.xml.rels><?xml version="1.0" encoding="UTF-8" standalone="yes"?>
<Relationships xmlns="http://schemas.openxmlformats.org/package/2006/relationships">
</Relationships>
</file>

<file path=word/_rels/header1.xml.rels><?xml version="1.0" encoding="UTF-8" standalone="yes"?>
<Relationships xmlns="http://schemas.openxmlformats.org/package/2006/relationships">
  <Relationship Id="rId_LOGO" Type="http://schemas.openxmlformats.org/officeDocument/2006/relationships/image" Target="media/tgb_logo.png"/>
</Relationships>
</file>

<file path=docProps/core.xml><?xml version="1.0" encoding="utf-8"?>
<cp:coreProperties xmlns:cp="http://schemas.openxmlformats.org/package/2006/metadata/core-properties" xmlns:dc="http://purl.org/dc/elements/1.1/" xmlns:dcterms="http://purl.org/dc/terms/" xmlns:xsi="http://www.w3.org/2001/XMLSchema-instance">
  <dc:title>Workforce Reduction and Redundancy Management Framework</dc:title>
  <dc:subject>Workforce Change Management Bundle</dc:subject>
  <dc:creator>The Gaming Boardroom</dc:creator>
  <cp:keywords>HR and Talent Management | Framework | Workforce Change Management Bundle | Standalone | HIGH</cp:keywords>
  <dc:description>Six-part redundancy management framework for gambling operators.</dc:description>
  <cp:category>HR and Talent Management</cp:category>
  <cp:contentStatus>Final</cp:contentStatus>
</cp:coreProperties>
</file>