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c="http://schemas.openxmlformats.org/markup-compatibility/2006" xmlns:r="http://schemas.openxmlformats.org/officeDocument/2006/relationships" xmlns:w="http://schemas.openxmlformats.org/wordprocessingml/2006/main" xmlns:w14="http://schemas.microsoft.com/office/word/2010/wordml" mc:Ignorable="w14">
  <w:body>
    <w:p>
      <w:pPr>
        <w:spacing w:before="0" w:after="80"/>
      </w:pPr>
      <w:r>
        <w:rPr>
          <w:b/>
          <w:color w:val="1B2A4A"/>
          <w:sz w:val="36"/>
          <w:szCs w:val="36"/>
        </w:rPr>
        <w:t>Post-Restructure Retention and Performance Framework</w:t>
      </w:r>
    </w:p>
    <w:p>
      <w:pPr>
        <w:spacing w:after="80" w:before="0"/>
      </w:pPr>
    </w:p>
    <w:p>
      <w:pPr>
        <w:spacing w:after="100" w:before="0"/>
      </w:pPr>
      <w:r>
        <w:rPr>
          <w:i/>
          <w:iCs/>
          <w:color w:val="555555"/>
          <w:sz w:val="20"/>
          <w:szCs w:val="20"/>
        </w:rPr>
        <w:t xml:space="preserve">Your restructure has been announced. Some roles have been made redundant, others have changed, and the organisation is now in the most fragile phase of the change cycle. The departures are visible; the attrition risk among remaining staff is invisible. Research consistently shows that voluntary turnover peaks in the 6–12 weeks following a restructure announcement — not because the restructure itself was wrong, but because it triggers a reassessment among high performers who were already considering their options. This framework gives you the structured process to monitor retention risk, reset performance expectations for changed roles, identify and address early disengagement, and stabilise the organisation in the 90 days that determine whether the restructure was a success.</w:t>
      </w:r>
    </w:p>
    <w:p>
      <w:pPr>
        <w:spacing w:after="80" w:before="0"/>
      </w:pPr>
    </w:p>
    <w:tbl>
      <w:tblPr>
        <w:tblStyle w:val="TableGrid"/>
        <w:tblW w:w="9746" w:type="dxa"/>
        <w:tblLook w:val="04A0"/>
      </w:tblPr>
      <w:tblGrid>
        <w:gridCol w:w="2268"/>
        <w:gridCol w:w="7478"/>
      </w:tblGrid>
      <w:tr>
        <w:tc>
          <w:tcPr>
            <w:tcW w:w="2268" w:type="dxa"/>
            <w:shd w:val="clear" w:color="auto" w:fill="1B2A4A"/>
            <w:tcMar>
              <w:top w:w="60" w:type="dxa"/>
              <w:left w:w="120" w:type="dxa"/>
              <w:bottom w:w="60" w:type="dxa"/>
              <w:right w:w="120" w:type="dxa"/>
            </w:tcMar>
          </w:tcPr>
          <w:p>
            <w:pPr>
              <w:spacing w:before="40" w:after="40"/>
            </w:pPr>
            <w:r>
              <w:rPr>
                <w:b/>
                <w:color w:val="FFFFFF"/>
                <w:sz w:val="18"/>
                <w:szCs w:val="18"/>
              </w:rPr>
              <w:t>Tool</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Post-Restructure Retention and Performance Framework</w:t>
            </w:r>
          </w:p>
        </w:tc>
      </w:tr>
      <w:tr>
        <w:tc>
          <w:tcPr>
            <w:tcW w:w="2268" w:type="dxa"/>
            <w:shd w:val="clear" w:color="auto" w:fill="1B2A4A"/>
            <w:tcMar>
              <w:top w:w="60" w:type="dxa"/>
              <w:left w:w="120" w:type="dxa"/>
              <w:bottom w:w="60" w:type="dxa"/>
              <w:right w:w="120" w:type="dxa"/>
            </w:tcMar>
          </w:tcPr>
          <w:p>
            <w:pPr>
              <w:spacing w:before="40" w:after="40"/>
            </w:pPr>
            <w:r>
              <w:rPr>
                <w:b/>
                <w:color w:val="FFFFFF"/>
                <w:sz w:val="18"/>
                <w:szCs w:val="18"/>
              </w:rPr>
              <w:t>Bundle</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Workforce Change Management Bundle</w:t>
            </w:r>
          </w:p>
        </w:tc>
      </w:tr>
      <w:tr>
        <w:tc>
          <w:tcPr>
            <w:tcW w:w="2268" w:type="dxa"/>
            <w:shd w:val="clear" w:color="auto" w:fill="1B2A4A"/>
            <w:tcMar>
              <w:top w:w="60" w:type="dxa"/>
              <w:left w:w="120" w:type="dxa"/>
              <w:bottom w:w="60" w:type="dxa"/>
              <w:right w:w="120" w:type="dxa"/>
            </w:tcMar>
          </w:tcPr>
          <w:p>
            <w:pPr>
              <w:spacing w:before="40" w:after="40"/>
            </w:pPr>
            <w:r>
              <w:rPr>
                <w:b/>
                <w:color w:val="FFFFFF"/>
                <w:sz w:val="18"/>
                <w:szCs w:val="18"/>
              </w:rPr>
              <w:t>Vertical</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HR and Talent Management</w:t>
            </w:r>
          </w:p>
        </w:tc>
      </w:tr>
      <w:tr>
        <w:tc>
          <w:tcPr>
            <w:tcW w:w="2268" w:type="dxa"/>
            <w:shd w:val="clear" w:color="auto" w:fill="1B2A4A"/>
            <w:tcMar>
              <w:top w:w="60" w:type="dxa"/>
              <w:left w:w="120" w:type="dxa"/>
              <w:bottom w:w="60" w:type="dxa"/>
              <w:right w:w="120" w:type="dxa"/>
            </w:tcMar>
          </w:tcPr>
          <w:p>
            <w:pPr>
              <w:spacing w:before="40" w:after="40"/>
            </w:pPr>
            <w:r>
              <w:rPr>
                <w:b/>
                <w:color w:val="FFFFFF"/>
                <w:sz w:val="18"/>
                <w:szCs w:val="18"/>
              </w:rPr>
              <w:t>Format</w:t>
            </w:r>
          </w:p>
        </w:tc>
        <w:tc>
          <w:tcPr>
            <w:tcW w:w="7478" w:type="dxa"/>
            <w:shd w:val="clear" w:color="auto" w:fill="FDF0D5"/>
            <w:tcMar>
              <w:top w:w="60" w:type="dxa"/>
              <w:left w:w="120" w:type="dxa"/>
              <w:bottom w:w="60" w:type="dxa"/>
              <w:right w:w="120" w:type="dxa"/>
            </w:tcMar>
          </w:tcPr>
          <w:p>
            <w:pPr>
              <w:spacing w:before="40" w:after="40"/>
            </w:pPr>
            <w:r>
              <w:rPr>
                <w:color w:val="1B2A4A"/>
                <w:sz w:val="18"/>
                <w:szCs w:val="18"/>
              </w:rPr>
              <w:t>Framework</w:t>
            </w:r>
          </w:p>
        </w:tc>
      </w:tr>
    </w:tbl>
    <w:p>
      <w:pPr>
        <w:spacing w:after="80" w:before="0"/>
      </w:pPr>
    </w:p>
    <w:tbl>
      <w:tblPr>
        <w:tblStyle w:val="TableGrid"/>
        <w:tblW w:w="9746" w:type="dxa"/>
        <w:tblBorders>
          <w:left w:val="single" w:sz="16" w:space="0" w:color="C2A76D"/>
        </w:tblBorders>
        <w:tblLook w:val="04A0"/>
      </w:tblPr>
      <w:tblGrid>
        <w:gridCol w:w="9746"/>
      </w:tblGrid>
      <w:tr>
        <w:tc>
          <w:tcPr>
            <w:tcW w:w="9746" w:type="dxa"/>
            <w:shd w:val="clear" w:color="auto" w:fill="FDF0D5"/>
            <w:tcMar>
              <w:top w:w="120" w:type="dxa"/>
              <w:left w:w="180" w:type="dxa"/>
              <w:bottom w:w="120" w:type="dxa"/>
              <w:right w:w="120" w:type="dxa"/>
            </w:tcMar>
          </w:tcPr>
          <w:p>
            <w:pPr>
              <w:spacing w:before="40" w:after="80"/>
            </w:pPr>
            <w:r>
              <w:rPr>
                <w:b/>
                <w:color w:val="C2A76D"/>
                <w:sz w:val="20"/>
                <w:szCs w:val="20"/>
              </w:rPr>
              <w:t xml:space="preserve">FOR LEADERSHIP  </w:t>
            </w:r>
            <w:r>
              <w:rPr>
                <w:color w:val="555555"/>
                <w:sz w:val="20"/>
                <w:szCs w:val="20"/>
              </w:rPr>
              <w:t xml:space="preserve">The primary risk in the post-restructure period is not the employees who left — it is the employees who stayed but have mentally checked out. Survivor syndrome is well-documented: remaining staff frequently experience guilt, anxiety, increased workload, and reduced confidence in leadership. If it is not actively managed, it manifests as disengagement, reduced performance, and voluntary attrition among the people you most need to keep. For gambling operators, the compliance risk dimension makes this particularly acute: if your best compliance, RG, or AML staff leave in the post-restructure period, you are simultaneously managing a regulatory gap and a talent crisis. This framework addresses retention, performance, and engagement in the 90-day window that matters most.</w:t>
            </w:r>
          </w:p>
        </w:tc>
      </w:tr>
    </w:tbl>
    <w:p>
      <w:pPr>
        <w:spacing w:after="100" w:before="0"/>
      </w:pPr>
    </w:p>
    <w:tbl>
      <w:tblPr>
        <w:tblStyle w:val="TableGrid"/>
        <w:tblW w:w="9746" w:type="dxa"/>
        <w:tblBorders>
          <w:left w:val="single" w:sz="16" w:space="0" w:color="C2A76D"/>
        </w:tblBorders>
        <w:tblLook w:val="04A0"/>
      </w:tblPr>
      <w:tblGrid>
        <w:gridCol w:w="9746"/>
      </w:tblGrid>
      <w:tr>
        <w:tc>
          <w:tcPr>
            <w:tcW w:w="9746" w:type="dxa"/>
            <w:shd w:val="clear" w:color="auto" w:fill="FDF0D5"/>
            <w:tcMar>
              <w:top w:w="120" w:type="dxa"/>
              <w:left w:w="180" w:type="dxa"/>
              <w:bottom w:w="120" w:type="dxa"/>
              <w:right w:w="120" w:type="dxa"/>
            </w:tcMar>
          </w:tcPr>
          <w:p>
            <w:pPr>
              <w:spacing w:before="40" w:after="80"/>
            </w:pPr>
            <w:r>
              <w:rPr>
                <w:b/>
                <w:color w:val="C2A76D"/>
                <w:sz w:val="20"/>
                <w:szCs w:val="20"/>
              </w:rPr>
              <w:t xml:space="preserve">FOR THE MANAGER USING THIS TOOL  </w:t>
            </w:r>
            <w:r>
              <w:rPr>
                <w:color w:val="555555"/>
                <w:sz w:val="20"/>
                <w:szCs w:val="20"/>
              </w:rPr>
              <w:t xml:space="preserve">This framework works in four parts. Part 1 is the 30-day stabilisation phase — the immediate actions required in the first month. Part 2 is the retention risk management framework — how to identify and act on individual flight risk before it becomes resignation. Part 3 is the performance reset — how to establish clear expectations and support for employees in changed or new roles. Part 4 is the 90-day review process — the structured assessment of whether the post-restructure organisation is performing and what still needs to be addressed. Run this framework in parallel with normal operations — it is not a one-off project but a structured management discipline for 90 days.</w:t>
            </w:r>
          </w:p>
        </w:tc>
      </w:tr>
    </w:tbl>
    <w:p>
      <w:pPr>
        <w:spacing w:after="100" w:before="0"/>
      </w:pPr>
    </w:p>
    <w:tbl>
      <w:tblPr>
        <w:tblStyle w:val="TableGrid"/>
        <w:tblW w:w="9746" w:type="dxa"/>
        <w:tblBorders>
          <w:left w:val="single" w:sz="16" w:space="0" w:color="C2A76D"/>
        </w:tblBorders>
        <w:tblLook w:val="04A0"/>
      </w:tblPr>
      <w:tblGrid>
        <w:gridCol w:w="9746"/>
      </w:tblGrid>
      <w:tr>
        <w:tc>
          <w:tcPr>
            <w:tcW w:w="9746" w:type="dxa"/>
            <w:shd w:val="clear" w:color="auto" w:fill="FDF0D5"/>
            <w:tcMar>
              <w:top w:w="120" w:type="dxa"/>
              <w:left w:w="180" w:type="dxa"/>
              <w:bottom w:w="120" w:type="dxa"/>
              <w:right w:w="120" w:type="dxa"/>
            </w:tcMar>
          </w:tcPr>
          <w:p>
            <w:pPr>
              <w:spacing w:before="40" w:after="80"/>
            </w:pPr>
            <w:r>
              <w:rPr>
                <w:b/>
                <w:color w:val="C2A76D"/>
                <w:sz w:val="20"/>
                <w:szCs w:val="20"/>
              </w:rPr>
              <w:t xml:space="preserve">OPERATOR TIP  </w:t>
            </w:r>
            <w:r>
              <w:rPr>
                <w:i/>
                <w:iCs/>
                <w:color w:val="555555"/>
                <w:sz w:val="18"/>
                <w:szCs w:val="18"/>
              </w:rPr>
              <w:t xml:space="preserve">The most important conversation you can have in the first two weeks is not with your high performers — they will manage. It is with your mid-tier performers who are now carrying significantly more work than before. They will not tell you they are struggling. They will quietly update their LinkedIn profile. Build a specific check-in cadence for this group. The question to ask is not "how are you finding things?" — it is "what is the one thing that would make the biggest difference to your workload right now?"</w:t>
            </w:r>
          </w:p>
        </w:tc>
      </w:tr>
    </w:tbl>
    <w:p>
      <w:pPr>
        <w:spacing w:after="140" w:before="0"/>
      </w:pPr>
    </w:p>
    <w:p>
      <w:pPr>
        <w:pStyle w:val="Heading1"/>
        <w:spacing w:before="240" w:after="80"/>
      </w:pPr>
      <w:r>
        <w:rPr>
          <w:b/>
          <w:color w:val="1B2A4A"/>
          <w:sz w:val="28"/>
          <w:szCs w:val="28"/>
        </w:rPr>
        <w:t>Part 1 — 30-Day Stabilisation</w:t>
      </w:r>
    </w:p>
    <w:p>
      <w:pPr>
        <w:spacing w:after="100" w:before="0"/>
      </w:pPr>
      <w:r>
        <w:rPr>
          <w:color w:val="555555"/>
          <w:sz w:val="20"/>
          <w:szCs w:val="20"/>
        </w:rPr>
        <w:t xml:space="preserve">The first 30 days determine the tone. These actions should be completed within the first month.</w:t>
      </w:r>
    </w:p>
    <w:p>
      <w:pPr>
        <w:spacing w:after="80" w:before="0"/>
      </w:pPr>
    </w:p>
    <w:p>
      <w:pPr>
        <w:pStyle w:val="Heading2"/>
        <w:spacing w:before="160" w:after="60"/>
      </w:pPr>
      <w:r>
        <w:rPr>
          <w:b/>
          <w:color w:val="C2A76D"/>
          <w:sz w:val="22"/>
          <w:szCs w:val="22"/>
        </w:rPr>
        <w:t>1.1  Immediate Actions (Week 1–2)</w:t>
      </w:r>
    </w:p>
    <w:tbl>
      <w:tblPr>
        <w:tblStyle w:val="TableGrid"/>
        <w:tblW w:w="9746" w:type="dxa"/>
        <w:tblLook w:val="04A0"/>
      </w:tblPr>
      <w:tblGrid>
        <w:gridCol w:w="4600"/>
        <w:gridCol w:w="2000"/>
        <w:gridCol w:w="1600"/>
        <w:gridCol w:w="1546"/>
      </w:tblGrid>
      <w:tr>
        <w:tc>
          <w:tcPr>
            <w:tcW w:w="4600" w:type="dxa"/>
            <w:shd w:val="clear" w:color="auto" w:fill="1B2A4A"/>
            <w:tcMar>
              <w:top w:w="80" w:type="dxa"/>
              <w:left w:w="120" w:type="dxa"/>
              <w:bottom w:w="80" w:type="dxa"/>
              <w:right w:w="120" w:type="dxa"/>
            </w:tcMar>
          </w:tcPr>
          <w:p>
            <w:pPr>
              <w:spacing w:before="40" w:after="40"/>
            </w:pPr>
            <w:r>
              <w:rPr>
                <w:b/>
                <w:color w:val="FFFFFF"/>
                <w:sz w:val="18"/>
                <w:szCs w:val="18"/>
              </w:rPr>
              <w:t>Action</w:t>
            </w:r>
          </w:p>
        </w:tc>
        <w:tc>
          <w:tcPr>
            <w:tcW w:w="2000" w:type="dxa"/>
            <w:shd w:val="clear" w:color="auto" w:fill="1B2A4A"/>
            <w:tcMar>
              <w:top w:w="80" w:type="dxa"/>
              <w:left w:w="120" w:type="dxa"/>
              <w:bottom w:w="80" w:type="dxa"/>
              <w:right w:w="120" w:type="dxa"/>
            </w:tcMar>
          </w:tcPr>
          <w:p>
            <w:pPr>
              <w:spacing w:before="40" w:after="40"/>
            </w:pPr>
            <w:r>
              <w:rPr>
                <w:b/>
                <w:color w:val="FFFFFF"/>
                <w:sz w:val="18"/>
                <w:szCs w:val="18"/>
              </w:rPr>
              <w:t>Owner</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Due</w:t>
            </w:r>
          </w:p>
        </w:tc>
        <w:tc>
          <w:tcPr>
            <w:tcW w:w="1546" w:type="dxa"/>
            <w:shd w:val="clear" w:color="auto" w:fill="1B2A4A"/>
            <w:tcMar>
              <w:top w:w="80" w:type="dxa"/>
              <w:left w:w="120" w:type="dxa"/>
              <w:bottom w:w="80" w:type="dxa"/>
              <w:right w:w="120" w:type="dxa"/>
            </w:tcMar>
          </w:tcPr>
          <w:p>
            <w:pPr>
              <w:spacing w:before="40" w:after="40"/>
            </w:pPr>
            <w:r>
              <w:rPr>
                <w:b/>
                <w:color w:val="FFFFFF"/>
                <w:sz w:val="18"/>
                <w:szCs w:val="18"/>
              </w:rPr>
              <w:t>Done</w:t>
            </w:r>
          </w:p>
        </w:tc>
      </w:tr>
      <w:tr>
        <w:tc>
          <w:tcPr>
            <w:tcW w:w="4600" w:type="dxa"/>
            <w:shd w:val="clear" w:color="auto" w:fill="FDF0D5"/>
            <w:tcMar>
              <w:top w:w="60" w:type="dxa"/>
              <w:left w:w="120" w:type="dxa"/>
              <w:bottom w:w="60" w:type="dxa"/>
              <w:right w:w="120" w:type="dxa"/>
            </w:tcMar>
          </w:tcPr>
          <w:p>
            <w:pPr>
              <w:spacing w:before="40" w:after="40"/>
            </w:pPr>
            <w:r>
              <w:rPr>
                <w:color w:val="555555"/>
                <w:sz w:val="18"/>
                <w:szCs w:val="18"/>
              </w:rPr>
              <w:t xml:space="preserve">All-team briefing: new structure explained, workload transition plan confirmed, no further changes coming (if true)</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Senior leader</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Week 1</w:t>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600" w:type="dxa"/>
            <w:shd w:val="clear" w:color="auto" w:fill="FDF0D5"/>
            <w:tcMar>
              <w:top w:w="60" w:type="dxa"/>
              <w:left w:w="120" w:type="dxa"/>
              <w:bottom w:w="60" w:type="dxa"/>
              <w:right w:w="120" w:type="dxa"/>
            </w:tcMar>
          </w:tcPr>
          <w:p>
            <w:pPr>
              <w:spacing w:before="40" w:after="40"/>
            </w:pPr>
            <w:r>
              <w:rPr>
                <w:color w:val="555555"/>
                <w:sz w:val="18"/>
                <w:szCs w:val="18"/>
              </w:rPr>
              <w:t xml:space="preserve">Individual 1:1 with every direct report: check in, not performance management. Listen first.</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Each line manager</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Week 1–2</w:t>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600" w:type="dxa"/>
            <w:shd w:val="clear" w:color="auto" w:fill="FDF0D5"/>
            <w:tcMar>
              <w:top w:w="60" w:type="dxa"/>
              <w:left w:w="120" w:type="dxa"/>
              <w:bottom w:w="60" w:type="dxa"/>
              <w:right w:w="120" w:type="dxa"/>
            </w:tcMar>
          </w:tcPr>
          <w:p>
            <w:pPr>
              <w:spacing w:before="40" w:after="40"/>
            </w:pPr>
            <w:r>
              <w:rPr>
                <w:color w:val="555555"/>
                <w:sz w:val="18"/>
                <w:szCs w:val="18"/>
              </w:rPr>
              <w:t xml:space="preserve">Workload audit: identify where departures have created coverage gaps or unrealistic loads</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HR + line managers</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Week 2</w:t>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600" w:type="dxa"/>
            <w:shd w:val="clear" w:color="auto" w:fill="FDF0D5"/>
            <w:tcMar>
              <w:top w:w="60" w:type="dxa"/>
              <w:left w:w="120" w:type="dxa"/>
              <w:bottom w:w="60" w:type="dxa"/>
              <w:right w:w="120" w:type="dxa"/>
            </w:tcMar>
          </w:tcPr>
          <w:p>
            <w:pPr>
              <w:spacing w:before="40" w:after="40"/>
            </w:pPr>
            <w:r>
              <w:rPr>
                <w:color w:val="555555"/>
                <w:sz w:val="18"/>
                <w:szCs w:val="18"/>
              </w:rPr>
              <w:t xml:space="preserve">EAP (Employee Assistance Programme) re-communicated to all staff</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HR</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Week 1</w:t>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600" w:type="dxa"/>
            <w:shd w:val="clear" w:color="auto" w:fill="FDF0D5"/>
            <w:tcMar>
              <w:top w:w="60" w:type="dxa"/>
              <w:left w:w="120" w:type="dxa"/>
              <w:bottom w:w="60" w:type="dxa"/>
              <w:right w:w="120" w:type="dxa"/>
            </w:tcMar>
          </w:tcPr>
          <w:p>
            <w:pPr>
              <w:spacing w:before="40" w:after="40"/>
            </w:pPr>
            <w:r>
              <w:rPr>
                <w:color w:val="555555"/>
                <w:sz w:val="18"/>
                <w:szCs w:val="18"/>
              </w:rPr>
              <w:t xml:space="preserve">Compliance function check: confirm all regulatory obligations are covered with named owners</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Compliance Director</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Week 1</w:t>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600" w:type="dxa"/>
            <w:shd w:val="clear" w:color="auto" w:fill="FDF0D5"/>
            <w:tcMar>
              <w:top w:w="60" w:type="dxa"/>
              <w:left w:w="120" w:type="dxa"/>
              <w:bottom w:w="60" w:type="dxa"/>
              <w:right w:w="120" w:type="dxa"/>
            </w:tcMar>
          </w:tcPr>
          <w:p>
            <w:pPr>
              <w:spacing w:before="40" w:after="40"/>
            </w:pPr>
            <w:r>
              <w:rPr>
                <w:color w:val="555555"/>
                <w:sz w:val="18"/>
                <w:szCs w:val="18"/>
              </w:rPr>
              <w:t xml:space="preserve">Voluntary attrition report: any resignation in week 1 is a signal — review with HR immediately</w:t>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HR Director</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Week 1</w:t>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80" w:before="0"/>
      </w:pPr>
    </w:p>
    <w:p>
      <w:pPr>
        <w:pStyle w:val="Heading2"/>
        <w:spacing w:before="160" w:after="60"/>
      </w:pPr>
      <w:r>
        <w:rPr>
          <w:b/>
          <w:color w:val="C2A76D"/>
          <w:sz w:val="22"/>
          <w:szCs w:val="22"/>
        </w:rPr>
        <w:t>1.2  Stabilisation Checks (Week 3–4)</w:t>
      </w:r>
    </w:p>
    <w:tbl>
      <w:tblPr>
        <w:tblStyle w:val="TableGrid"/>
        <w:tblW w:w="9746" w:type="dxa"/>
        <w:tblLook w:val="04A0"/>
      </w:tblPr>
      <w:tblGrid>
        <w:gridCol w:w="3000"/>
        <w:gridCol w:w="3600"/>
        <w:gridCol w:w="3146"/>
      </w:tblGrid>
      <w:tr>
        <w:tc>
          <w:tcPr>
            <w:tcW w:w="3000" w:type="dxa"/>
            <w:shd w:val="clear" w:color="auto" w:fill="1B2A4A"/>
            <w:tcMar>
              <w:top w:w="80" w:type="dxa"/>
              <w:left w:w="120" w:type="dxa"/>
              <w:bottom w:w="80" w:type="dxa"/>
              <w:right w:w="120" w:type="dxa"/>
            </w:tcMar>
          </w:tcPr>
          <w:p>
            <w:pPr>
              <w:spacing w:before="40" w:after="40"/>
            </w:pPr>
            <w:r>
              <w:rPr>
                <w:b/>
                <w:color w:val="FFFFFF"/>
                <w:sz w:val="18"/>
                <w:szCs w:val="18"/>
              </w:rPr>
              <w:t>Check</w:t>
            </w:r>
          </w:p>
        </w:tc>
        <w:tc>
          <w:tcPr>
            <w:tcW w:w="3600" w:type="dxa"/>
            <w:shd w:val="clear" w:color="auto" w:fill="1B2A4A"/>
            <w:tcMar>
              <w:top w:w="80" w:type="dxa"/>
              <w:left w:w="120" w:type="dxa"/>
              <w:bottom w:w="80" w:type="dxa"/>
              <w:right w:w="120" w:type="dxa"/>
            </w:tcMar>
          </w:tcPr>
          <w:p>
            <w:pPr>
              <w:spacing w:before="40" w:after="40"/>
            </w:pPr>
            <w:r>
              <w:rPr>
                <w:b/>
                <w:color w:val="FFFFFF"/>
                <w:sz w:val="18"/>
                <w:szCs w:val="18"/>
              </w:rPr>
              <w:t>Finding</w:t>
            </w:r>
          </w:p>
        </w:tc>
        <w:tc>
          <w:tcPr>
            <w:tcW w:w="3146" w:type="dxa"/>
            <w:shd w:val="clear" w:color="auto" w:fill="1B2A4A"/>
            <w:tcMar>
              <w:top w:w="80" w:type="dxa"/>
              <w:left w:w="120" w:type="dxa"/>
              <w:bottom w:w="80" w:type="dxa"/>
              <w:right w:w="120" w:type="dxa"/>
            </w:tcMar>
          </w:tcPr>
          <w:p>
            <w:pPr>
              <w:spacing w:before="40" w:after="40"/>
            </w:pPr>
            <w:r>
              <w:rPr>
                <w:b/>
                <w:color w:val="FFFFFF"/>
                <w:sz w:val="18"/>
                <w:szCs w:val="18"/>
              </w:rPr>
              <w:t>Action</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Team capacity: is the remaining team able to absorb the workload without unsustainable pressure?</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Role clarity: does everyone understand their new or changed responsibilities?</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Decision authority: are new reporting lines and decision rights clear?</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Informal team dynamics: any dysfunction, blame, or rumour cycles emerging?</w:t>
            </w:r>
          </w:p>
        </w:tc>
        <w:tc>
          <w:tcPr>
            <w:tcW w:w="3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80" w:before="0"/>
      </w:pPr>
    </w:p>
    <w:p>
      <w:pPr>
        <w:pStyle w:val="Heading1"/>
        <w:spacing w:before="240" w:after="80"/>
      </w:pPr>
      <w:r>
        <w:rPr>
          <w:b/>
          <w:color w:val="1B2A4A"/>
          <w:sz w:val="28"/>
          <w:szCs w:val="28"/>
        </w:rPr>
        <w:t>Part 2 — Retention Risk Management</w:t>
      </w:r>
    </w:p>
    <w:p>
      <w:pPr>
        <w:spacing w:after="100" w:before="0"/>
      </w:pPr>
      <w:r>
        <w:rPr>
          <w:color w:val="555555"/>
          <w:sz w:val="20"/>
          <w:szCs w:val="20"/>
        </w:rPr>
        <w:t xml:space="preserve">Identify and actively manage flight risk for the individuals the business most needs to retain.</w:t>
      </w:r>
    </w:p>
    <w:p>
      <w:pPr>
        <w:spacing w:after="80" w:before="0"/>
      </w:pPr>
    </w:p>
    <w:p>
      <w:pPr>
        <w:pStyle w:val="Heading2"/>
        <w:spacing w:before="160" w:after="60"/>
      </w:pPr>
      <w:r>
        <w:rPr>
          <w:b/>
          <w:color w:val="C2A76D"/>
          <w:sz w:val="22"/>
          <w:szCs w:val="22"/>
        </w:rPr>
        <w:t>2.1  Retention Risk Assessment</w:t>
      </w:r>
    </w:p>
    <w:p>
      <w:pPr>
        <w:spacing w:after="100" w:before="0"/>
      </w:pPr>
      <w:r>
        <w:rPr>
          <w:color w:val="555555"/>
          <w:sz w:val="20"/>
          <w:szCs w:val="20"/>
        </w:rPr>
        <w:t xml:space="preserve">Rate each key individual using the framework below. Update monthly.</w:t>
      </w:r>
    </w:p>
    <w:tbl>
      <w:tblPr>
        <w:tblStyle w:val="TableGrid"/>
        <w:tblW w:w="9746" w:type="dxa"/>
        <w:tblLook w:val="04A0"/>
      </w:tblPr>
      <w:tblGrid>
        <w:gridCol w:w="2800"/>
        <w:gridCol w:w="2200"/>
        <w:gridCol w:w="2200"/>
        <w:gridCol w:w="2546"/>
      </w:tblGrid>
      <w:tr>
        <w:tc>
          <w:tcPr>
            <w:tcW w:w="2800" w:type="dxa"/>
            <w:shd w:val="clear" w:color="auto" w:fill="1B2A4A"/>
            <w:tcMar>
              <w:top w:w="80" w:type="dxa"/>
              <w:left w:w="120" w:type="dxa"/>
              <w:bottom w:w="80" w:type="dxa"/>
              <w:right w:w="120" w:type="dxa"/>
            </w:tcMar>
          </w:tcPr>
          <w:p>
            <w:pPr>
              <w:spacing w:before="40" w:after="40"/>
            </w:pPr>
            <w:r>
              <w:rPr>
                <w:b/>
                <w:color w:val="FFFFFF"/>
                <w:sz w:val="18"/>
                <w:szCs w:val="18"/>
              </w:rPr>
              <w:t>Risk Factor</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Low Risk</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Medium Risk</w:t>
            </w:r>
          </w:p>
        </w:tc>
        <w:tc>
          <w:tcPr>
            <w:tcW w:w="2546" w:type="dxa"/>
            <w:shd w:val="clear" w:color="auto" w:fill="1B2A4A"/>
            <w:tcMar>
              <w:top w:w="80" w:type="dxa"/>
              <w:left w:w="120" w:type="dxa"/>
              <w:bottom w:w="80" w:type="dxa"/>
              <w:right w:w="120" w:type="dxa"/>
            </w:tcMar>
          </w:tcPr>
          <w:p>
            <w:pPr>
              <w:spacing w:before="40" w:after="40"/>
            </w:pPr>
            <w:r>
              <w:rPr>
                <w:b/>
                <w:color w:val="FFFFFF"/>
                <w:sz w:val="18"/>
                <w:szCs w:val="18"/>
              </w:rPr>
              <w:t>High Risk</w:t>
            </w:r>
          </w:p>
        </w:tc>
      </w:tr>
      <w:tr>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Engagement signals</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Active, visible, contributing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Quieter than usual, reduced volunteering</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Withdrawn, disengaged, reduced effort</w:t>
            </w:r>
          </w:p>
        </w:tc>
      </w:tr>
      <w:tr>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External market activity</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No visible signals</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LinkedIn updated recently</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Active job search signals or recruiter contact disclosed</w:t>
            </w:r>
          </w:p>
        </w:tc>
      </w:tr>
      <w:tr>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Relationship with new manager or structure</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Positive, adapting well</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Neutral, adjusting</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Struggling, resistance visible</w:t>
            </w:r>
          </w:p>
        </w:tc>
      </w:tr>
      <w:tr>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Workload impact</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Manageable</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Stretched but coping</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Overloaded — expressing or signalling burnout</w:t>
            </w:r>
          </w:p>
        </w:tc>
      </w:tr>
      <w:tr>
        <w:tc>
          <w:tcPr>
            <w:tcW w:w="2800" w:type="dxa"/>
            <w:shd w:val="clear" w:color="auto" w:fill="FDF0D5"/>
            <w:tcMar>
              <w:top w:w="60" w:type="dxa"/>
              <w:left w:w="120" w:type="dxa"/>
              <w:bottom w:w="60" w:type="dxa"/>
              <w:right w:w="120" w:type="dxa"/>
            </w:tcMar>
          </w:tcPr>
          <w:p>
            <w:pPr>
              <w:spacing w:before="40" w:after="40"/>
            </w:pPr>
            <w:r>
              <w:rPr>
                <w:color w:val="555555"/>
                <w:sz w:val="18"/>
                <w:szCs w:val="18"/>
              </w:rPr>
              <w:t xml:space="preserve">Change alignment</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Understands and supports the rationale</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Uncertain but not resistant</w:t>
            </w:r>
          </w:p>
        </w:tc>
        <w:tc>
          <w:tcPr>
            <w:tcW w:w="2546" w:type="dxa"/>
            <w:shd w:val="clear" w:color="auto" w:fill="FDF0D5"/>
            <w:tcMar>
              <w:top w:w="60" w:type="dxa"/>
              <w:left w:w="120" w:type="dxa"/>
              <w:bottom w:w="60" w:type="dxa"/>
              <w:right w:w="120" w:type="dxa"/>
            </w:tcMar>
          </w:tcPr>
          <w:p>
            <w:pPr>
              <w:spacing w:before="40" w:after="40"/>
            </w:pPr>
            <w:r>
              <w:rPr>
                <w:color w:val="555555"/>
                <w:sz w:val="18"/>
                <w:szCs w:val="18"/>
              </w:rPr>
              <w:t xml:space="preserve">Does not see a place for themselves in the new structure</w:t>
            </w:r>
          </w:p>
        </w:tc>
      </w:tr>
    </w:tbl>
    <w:p>
      <w:pPr>
        <w:spacing w:after="80" w:before="0"/>
      </w:pPr>
    </w:p>
    <w:p>
      <w:pPr>
        <w:pStyle w:val="Heading2"/>
        <w:spacing w:before="160" w:after="60"/>
      </w:pPr>
      <w:r>
        <w:rPr>
          <w:b/>
          <w:color w:val="C2A76D"/>
          <w:sz w:val="22"/>
          <w:szCs w:val="22"/>
        </w:rPr>
        <w:t>2.2  Retention Risk Register</w:t>
      </w:r>
    </w:p>
    <w:tbl>
      <w:tblPr>
        <w:tblStyle w:val="TableGrid"/>
        <w:tblW w:w="9746" w:type="dxa"/>
        <w:tblLook w:val="04A0"/>
      </w:tblPr>
      <w:tblGrid>
        <w:gridCol w:w="2200"/>
        <w:gridCol w:w="1200"/>
        <w:gridCol w:w="1800"/>
        <w:gridCol w:w="2400"/>
        <w:gridCol w:w="1200"/>
        <w:gridCol w:w="946"/>
      </w:tblGrid>
      <w:tr>
        <w:tc>
          <w:tcPr>
            <w:tcW w:w="2200" w:type="dxa"/>
            <w:shd w:val="clear" w:color="auto" w:fill="1B2A4A"/>
            <w:tcMar>
              <w:top w:w="80" w:type="dxa"/>
              <w:left w:w="120" w:type="dxa"/>
              <w:bottom w:w="80" w:type="dxa"/>
              <w:right w:w="120" w:type="dxa"/>
            </w:tcMar>
          </w:tcPr>
          <w:p>
            <w:pPr>
              <w:spacing w:before="40" w:after="40"/>
            </w:pPr>
            <w:r>
              <w:rPr>
                <w:b/>
                <w:color w:val="FFFFFF"/>
                <w:sz w:val="18"/>
                <w:szCs w:val="18"/>
              </w:rPr>
              <w:t>Role (by role, not name in shared version)</w:t>
            </w:r>
          </w:p>
        </w:tc>
        <w:tc>
          <w:tcPr>
            <w:tcW w:w="1200" w:type="dxa"/>
            <w:shd w:val="clear" w:color="auto" w:fill="1B2A4A"/>
            <w:tcMar>
              <w:top w:w="80" w:type="dxa"/>
              <w:left w:w="120" w:type="dxa"/>
              <w:bottom w:w="80" w:type="dxa"/>
              <w:right w:w="120" w:type="dxa"/>
            </w:tcMar>
          </w:tcPr>
          <w:p>
            <w:pPr>
              <w:spacing w:before="40" w:after="40"/>
            </w:pPr>
            <w:r>
              <w:rPr>
                <w:b/>
                <w:color w:val="FFFFFF"/>
                <w:sz w:val="18"/>
                <w:szCs w:val="18"/>
              </w:rPr>
              <w:t>Risk Level</w:t>
            </w:r>
          </w:p>
        </w:tc>
        <w:tc>
          <w:tcPr>
            <w:tcW w:w="1800" w:type="dxa"/>
            <w:shd w:val="clear" w:color="auto" w:fill="1B2A4A"/>
            <w:tcMar>
              <w:top w:w="80" w:type="dxa"/>
              <w:left w:w="120" w:type="dxa"/>
              <w:bottom w:w="80" w:type="dxa"/>
              <w:right w:w="120" w:type="dxa"/>
            </w:tcMar>
          </w:tcPr>
          <w:p>
            <w:pPr>
              <w:spacing w:before="40" w:after="40"/>
            </w:pPr>
            <w:r>
              <w:rPr>
                <w:b/>
                <w:color w:val="FFFFFF"/>
                <w:sz w:val="18"/>
                <w:szCs w:val="18"/>
              </w:rPr>
              <w:t>Key Driver</w:t>
            </w:r>
          </w:p>
        </w:tc>
        <w:tc>
          <w:tcPr>
            <w:tcW w:w="2400" w:type="dxa"/>
            <w:shd w:val="clear" w:color="auto" w:fill="1B2A4A"/>
            <w:tcMar>
              <w:top w:w="80" w:type="dxa"/>
              <w:left w:w="120" w:type="dxa"/>
              <w:bottom w:w="80" w:type="dxa"/>
              <w:right w:w="120" w:type="dxa"/>
            </w:tcMar>
          </w:tcPr>
          <w:p>
            <w:pPr>
              <w:spacing w:before="40" w:after="40"/>
            </w:pPr>
            <w:r>
              <w:rPr>
                <w:b/>
                <w:color w:val="FFFFFF"/>
                <w:sz w:val="18"/>
                <w:szCs w:val="18"/>
              </w:rPr>
              <w:t>Retention Action</w:t>
            </w:r>
          </w:p>
        </w:tc>
        <w:tc>
          <w:tcPr>
            <w:tcW w:w="1200" w:type="dxa"/>
            <w:shd w:val="clear" w:color="auto" w:fill="1B2A4A"/>
            <w:tcMar>
              <w:top w:w="80" w:type="dxa"/>
              <w:left w:w="120" w:type="dxa"/>
              <w:bottom w:w="80" w:type="dxa"/>
              <w:right w:w="120" w:type="dxa"/>
            </w:tcMar>
          </w:tcPr>
          <w:p>
            <w:pPr>
              <w:spacing w:before="40" w:after="40"/>
            </w:pPr>
            <w:r>
              <w:rPr>
                <w:b/>
                <w:color w:val="FFFFFF"/>
                <w:sz w:val="18"/>
                <w:szCs w:val="18"/>
              </w:rPr>
              <w:t>Owner</w:t>
            </w:r>
          </w:p>
        </w:tc>
        <w:tc>
          <w:tcPr>
            <w:tcW w:w="946" w:type="dxa"/>
            <w:shd w:val="clear" w:color="auto" w:fill="1B2A4A"/>
            <w:tcMar>
              <w:top w:w="80" w:type="dxa"/>
              <w:left w:w="120" w:type="dxa"/>
              <w:bottom w:w="80" w:type="dxa"/>
              <w:right w:w="120" w:type="dxa"/>
            </w:tcMar>
          </w:tcPr>
          <w:p>
            <w:pPr>
              <w:spacing w:before="40" w:after="40"/>
            </w:pPr>
            <w:r>
              <w:rPr>
                <w:b/>
                <w:color w:val="FFFFFF"/>
                <w:sz w:val="18"/>
                <w:szCs w:val="18"/>
              </w:rPr>
              <w:t>Review Date</w:t>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H / M / L</w:t>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80" w:before="0"/>
      </w:pPr>
    </w:p>
    <w:p>
      <w:pPr>
        <w:pStyle w:val="Heading2"/>
        <w:spacing w:before="160" w:after="60"/>
      </w:pPr>
      <w:r>
        <w:rPr>
          <w:b/>
          <w:color w:val="C2A76D"/>
          <w:sz w:val="22"/>
          <w:szCs w:val="22"/>
        </w:rPr>
        <w:t>2.3  Retention Toolkit</w:t>
      </w:r>
    </w:p>
    <w:tbl>
      <w:tblPr>
        <w:tblStyle w:val="TableGrid"/>
        <w:tblW w:w="9746" w:type="dxa"/>
        <w:tblLook w:val="04A0"/>
      </w:tblPr>
      <w:tblGrid>
        <w:gridCol w:w="3200"/>
        <w:gridCol w:w="6546"/>
      </w:tblGrid>
      <w:tr>
        <w:tc>
          <w:tcPr>
            <w:tcW w:w="3200" w:type="dxa"/>
            <w:shd w:val="clear" w:color="auto" w:fill="1B2A4A"/>
            <w:tcMar>
              <w:top w:w="80" w:type="dxa"/>
              <w:left w:w="120" w:type="dxa"/>
              <w:bottom w:w="80" w:type="dxa"/>
              <w:right w:w="120" w:type="dxa"/>
            </w:tcMar>
          </w:tcPr>
          <w:p>
            <w:pPr>
              <w:spacing w:before="40" w:after="40"/>
            </w:pPr>
            <w:r>
              <w:rPr>
                <w:b/>
                <w:color w:val="FFFFFF"/>
                <w:sz w:val="18"/>
                <w:szCs w:val="18"/>
              </w:rPr>
              <w:t>Situation</w:t>
            </w:r>
          </w:p>
        </w:tc>
        <w:tc>
          <w:tcPr>
            <w:tcW w:w="6546" w:type="dxa"/>
            <w:shd w:val="clear" w:color="auto" w:fill="1B2A4A"/>
            <w:tcMar>
              <w:top w:w="80" w:type="dxa"/>
              <w:left w:w="120" w:type="dxa"/>
              <w:bottom w:w="80" w:type="dxa"/>
              <w:right w:w="120" w:type="dxa"/>
            </w:tcMar>
          </w:tcPr>
          <w:p>
            <w:pPr>
              <w:spacing w:before="40" w:after="40"/>
            </w:pPr>
            <w:r>
              <w:rPr>
                <w:b/>
                <w:color w:val="FFFFFF"/>
                <w:sz w:val="18"/>
                <w:szCs w:val="18"/>
              </w:rPr>
              <w:t>Retention Response Options</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High performer, workload is the issue</w:t>
            </w:r>
          </w:p>
        </w:tc>
        <w:tc>
          <w:tcPr>
            <w:tcW w:w="6546" w:type="dxa"/>
            <w:shd w:val="clear" w:color="auto" w:fill="FDF0D5"/>
            <w:tcMar>
              <w:top w:w="60" w:type="dxa"/>
              <w:left w:w="120" w:type="dxa"/>
              <w:bottom w:w="60" w:type="dxa"/>
              <w:right w:w="120" w:type="dxa"/>
            </w:tcMar>
          </w:tcPr>
          <w:p>
            <w:pPr>
              <w:spacing w:before="40" w:after="40"/>
            </w:pPr>
            <w:r>
              <w:rPr>
                <w:color w:val="555555"/>
                <w:sz w:val="18"/>
                <w:szCs w:val="18"/>
              </w:rPr>
              <w:t xml:space="preserve">Temporary resource support / contractor cover; explicit recognition; timeline to normalisation</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High performer, role clarity is the issue</w:t>
            </w:r>
          </w:p>
        </w:tc>
        <w:tc>
          <w:tcPr>
            <w:tcW w:w="6546" w:type="dxa"/>
            <w:shd w:val="clear" w:color="auto" w:fill="FDF0D5"/>
            <w:tcMar>
              <w:top w:w="60" w:type="dxa"/>
              <w:left w:w="120" w:type="dxa"/>
              <w:bottom w:w="60" w:type="dxa"/>
              <w:right w:w="120" w:type="dxa"/>
            </w:tcMar>
          </w:tcPr>
          <w:p>
            <w:pPr>
              <w:spacing w:before="40" w:after="40"/>
            </w:pPr>
            <w:r>
              <w:rPr>
                <w:color w:val="555555"/>
                <w:sz w:val="18"/>
                <w:szCs w:val="18"/>
              </w:rPr>
              <w:t xml:space="preserve">Clear scope conversation; documented role brief; decision authority confirmed</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High performer, career pathway unclear</w:t>
            </w:r>
          </w:p>
        </w:tc>
        <w:tc>
          <w:tcPr>
            <w:tcW w:w="6546" w:type="dxa"/>
            <w:shd w:val="clear" w:color="auto" w:fill="FDF0D5"/>
            <w:tcMar>
              <w:top w:w="60" w:type="dxa"/>
              <w:left w:w="120" w:type="dxa"/>
              <w:bottom w:w="60" w:type="dxa"/>
              <w:right w:w="120" w:type="dxa"/>
            </w:tcMar>
          </w:tcPr>
          <w:p>
            <w:pPr>
              <w:spacing w:before="40" w:after="40"/>
            </w:pPr>
            <w:r>
              <w:rPr>
                <w:color w:val="555555"/>
                <w:sz w:val="18"/>
                <w:szCs w:val="18"/>
              </w:rPr>
              <w:t xml:space="preserve">Career conversation — what does progression look like in the new structure?</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Mid-tier performer, disengaged</w:t>
            </w:r>
          </w:p>
        </w:tc>
        <w:tc>
          <w:tcPr>
            <w:tcW w:w="6546" w:type="dxa"/>
            <w:shd w:val="clear" w:color="auto" w:fill="FDF0D5"/>
            <w:tcMar>
              <w:top w:w="60" w:type="dxa"/>
              <w:left w:w="120" w:type="dxa"/>
              <w:bottom w:w="60" w:type="dxa"/>
              <w:right w:w="120" w:type="dxa"/>
            </w:tcMar>
          </w:tcPr>
          <w:p>
            <w:pPr>
              <w:spacing w:before="40" w:after="40"/>
            </w:pPr>
            <w:r>
              <w:rPr>
                <w:color w:val="555555"/>
                <w:sz w:val="18"/>
                <w:szCs w:val="18"/>
              </w:rPr>
              <w:t xml:space="preserve">Manager-led re-engagement: what would make this role work better for you?</w:t>
            </w:r>
          </w:p>
        </w:tc>
      </w:tr>
      <w:tr>
        <w:tc>
          <w:tcPr>
            <w:tcW w:w="3200" w:type="dxa"/>
            <w:shd w:val="clear" w:color="auto" w:fill="FDF0D5"/>
            <w:tcMar>
              <w:top w:w="60" w:type="dxa"/>
              <w:left w:w="120" w:type="dxa"/>
              <w:bottom w:w="60" w:type="dxa"/>
              <w:right w:w="120" w:type="dxa"/>
            </w:tcMar>
          </w:tcPr>
          <w:p>
            <w:pPr>
              <w:spacing w:before="40" w:after="40"/>
            </w:pPr>
            <w:r>
              <w:rPr>
                <w:color w:val="555555"/>
                <w:sz w:val="18"/>
                <w:szCs w:val="18"/>
              </w:rPr>
              <w:t xml:space="preserve">Critical compliance/RG/AML role at risk</w:t>
            </w:r>
          </w:p>
        </w:tc>
        <w:tc>
          <w:tcPr>
            <w:tcW w:w="6546" w:type="dxa"/>
            <w:shd w:val="clear" w:color="auto" w:fill="FDF0D5"/>
            <w:tcMar>
              <w:top w:w="60" w:type="dxa"/>
              <w:left w:w="120" w:type="dxa"/>
              <w:bottom w:w="60" w:type="dxa"/>
              <w:right w:w="120" w:type="dxa"/>
            </w:tcMar>
          </w:tcPr>
          <w:p>
            <w:pPr>
              <w:spacing w:before="40" w:after="40"/>
            </w:pPr>
            <w:r>
              <w:rPr>
                <w:color w:val="555555"/>
                <w:sz w:val="18"/>
                <w:szCs w:val="18"/>
              </w:rPr>
              <w:t xml:space="preserve">Escalate to HR Director; consider retention payment; assess regulatory risk if role departs</w:t>
            </w:r>
          </w:p>
        </w:tc>
      </w:tr>
    </w:tbl>
    <w:p>
      <w:pPr>
        <w:spacing w:after="80" w:before="0"/>
      </w:pPr>
    </w:p>
    <w:p>
      <w:pPr>
        <w:pStyle w:val="Heading1"/>
        <w:spacing w:before="240" w:after="80"/>
      </w:pPr>
      <w:r>
        <w:rPr>
          <w:b/>
          <w:color w:val="1B2A4A"/>
          <w:sz w:val="28"/>
          <w:szCs w:val="28"/>
        </w:rPr>
        <w:t>Part 3 — Performance Reset</w:t>
      </w:r>
    </w:p>
    <w:p>
      <w:pPr>
        <w:spacing w:after="100" w:before="0"/>
      </w:pPr>
      <w:r>
        <w:rPr>
          <w:color w:val="555555"/>
          <w:sz w:val="20"/>
          <w:szCs w:val="20"/>
        </w:rPr>
        <w:t xml:space="preserve">Changed and new roles require a deliberate reset of performance expectations. Do not assume existing job descriptions or previous targets carry over into a restructured role without explicit agreement.</w:t>
      </w:r>
    </w:p>
    <w:p>
      <w:pPr>
        <w:spacing w:after="80" w:before="0"/>
      </w:pPr>
    </w:p>
    <w:p>
      <w:pPr>
        <w:pStyle w:val="Heading2"/>
        <w:spacing w:before="160" w:after="60"/>
      </w:pPr>
      <w:r>
        <w:rPr>
          <w:b/>
          <w:color w:val="C2A76D"/>
          <w:sz w:val="22"/>
          <w:szCs w:val="22"/>
        </w:rPr>
        <w:t>3.1  Role Clarity Conversations</w:t>
      </w:r>
    </w:p>
    <w:p>
      <w:pPr>
        <w:spacing w:after="100" w:before="0"/>
      </w:pPr>
      <w:r>
        <w:rPr>
          <w:color w:val="555555"/>
          <w:sz w:val="20"/>
          <w:szCs w:val="20"/>
        </w:rPr>
        <w:t xml:space="preserve">Every employee in a changed role must have a documented conversation confirming:</w:t>
      </w:r>
    </w:p>
    <w:tbl>
      <w:tblPr>
        <w:tblStyle w:val="TableGrid"/>
        <w:tblW w:w="9746" w:type="dxa"/>
        <w:tblLook w:val="04A0"/>
      </w:tblPr>
      <w:tblGrid>
        <w:gridCol w:w="4200"/>
        <w:gridCol w:w="1400"/>
        <w:gridCol w:w="2200"/>
        <w:gridCol w:w="1946"/>
      </w:tblGrid>
      <w:tr>
        <w:tc>
          <w:tcPr>
            <w:tcW w:w="4200" w:type="dxa"/>
            <w:shd w:val="clear" w:color="auto" w:fill="1B2A4A"/>
            <w:tcMar>
              <w:top w:w="80" w:type="dxa"/>
              <w:left w:w="120" w:type="dxa"/>
              <w:bottom w:w="80" w:type="dxa"/>
              <w:right w:w="120" w:type="dxa"/>
            </w:tcMar>
          </w:tcPr>
          <w:p>
            <w:pPr>
              <w:spacing w:before="40" w:after="40"/>
            </w:pPr>
            <w:r>
              <w:rPr>
                <w:b/>
                <w:color w:val="FFFFFF"/>
                <w:sz w:val="18"/>
                <w:szCs w:val="18"/>
              </w:rPr>
              <w:t>Element to Confirm</w:t>
            </w:r>
          </w:p>
        </w:tc>
        <w:tc>
          <w:tcPr>
            <w:tcW w:w="1400" w:type="dxa"/>
            <w:shd w:val="clear" w:color="auto" w:fill="1B2A4A"/>
            <w:tcMar>
              <w:top w:w="80" w:type="dxa"/>
              <w:left w:w="120" w:type="dxa"/>
              <w:bottom w:w="80" w:type="dxa"/>
              <w:right w:w="120" w:type="dxa"/>
            </w:tcMar>
          </w:tcPr>
          <w:p>
            <w:pPr>
              <w:spacing w:before="40" w:after="40"/>
            </w:pPr>
            <w:r>
              <w:rPr>
                <w:b/>
                <w:color w:val="FFFFFF"/>
                <w:sz w:val="18"/>
                <w:szCs w:val="18"/>
              </w:rPr>
              <w:t>Agreed?</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Owner</w:t>
            </w:r>
          </w:p>
        </w:tc>
        <w:tc>
          <w:tcPr>
            <w:tcW w:w="1946" w:type="dxa"/>
            <w:shd w:val="clear" w:color="auto" w:fill="1B2A4A"/>
            <w:tcMar>
              <w:top w:w="80" w:type="dxa"/>
              <w:left w:w="120" w:type="dxa"/>
              <w:bottom w:w="80" w:type="dxa"/>
              <w:right w:w="120" w:type="dxa"/>
            </w:tcMar>
          </w:tcPr>
          <w:p>
            <w:pPr>
              <w:spacing w:before="40" w:after="40"/>
            </w:pPr>
            <w:r>
              <w:rPr>
                <w:b/>
                <w:color w:val="FFFFFF"/>
                <w:sz w:val="18"/>
                <w:szCs w:val="18"/>
              </w:rPr>
              <w:t>Date</w:t>
            </w:r>
          </w:p>
        </w:tc>
      </w:tr>
      <w:tr>
        <w:tc>
          <w:tcPr>
            <w:tcW w:w="4200" w:type="dxa"/>
            <w:shd w:val="clear" w:color="auto" w:fill="FDF0D5"/>
            <w:tcMar>
              <w:top w:w="60" w:type="dxa"/>
              <w:left w:w="120" w:type="dxa"/>
              <w:bottom w:w="60" w:type="dxa"/>
              <w:right w:w="120" w:type="dxa"/>
            </w:tcMar>
          </w:tcPr>
          <w:p>
            <w:pPr>
              <w:spacing w:before="40" w:after="40"/>
            </w:pPr>
            <w:r>
              <w:rPr>
                <w:color w:val="555555"/>
                <w:sz w:val="18"/>
                <w:szCs w:val="18"/>
              </w:rPr>
              <w:t xml:space="preserve">New scope and primary accountabilities</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 / Pending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200" w:type="dxa"/>
            <w:shd w:val="clear" w:color="auto" w:fill="FDF0D5"/>
            <w:tcMar>
              <w:top w:w="60" w:type="dxa"/>
              <w:left w:w="120" w:type="dxa"/>
              <w:bottom w:w="60" w:type="dxa"/>
              <w:right w:w="120" w:type="dxa"/>
            </w:tcMar>
          </w:tcPr>
          <w:p>
            <w:pPr>
              <w:spacing w:before="40" w:after="40"/>
            </w:pPr>
            <w:r>
              <w:rPr>
                <w:color w:val="555555"/>
                <w:sz w:val="18"/>
                <w:szCs w:val="18"/>
              </w:rPr>
              <w:t xml:space="preserve">Reporting line(s) confirmed and understood</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 / Pending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200" w:type="dxa"/>
            <w:shd w:val="clear" w:color="auto" w:fill="FDF0D5"/>
            <w:tcMar>
              <w:top w:w="60" w:type="dxa"/>
              <w:left w:w="120" w:type="dxa"/>
              <w:bottom w:w="60" w:type="dxa"/>
              <w:right w:w="120" w:type="dxa"/>
            </w:tcMar>
          </w:tcPr>
          <w:p>
            <w:pPr>
              <w:spacing w:before="40" w:after="40"/>
            </w:pPr>
            <w:r>
              <w:rPr>
                <w:color w:val="555555"/>
                <w:sz w:val="18"/>
                <w:szCs w:val="18"/>
              </w:rPr>
              <w:t xml:space="preserve">Decision authority — what can they decide without sign-off?</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 / Pending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200" w:type="dxa"/>
            <w:shd w:val="clear" w:color="auto" w:fill="FDF0D5"/>
            <w:tcMar>
              <w:top w:w="60" w:type="dxa"/>
              <w:left w:w="120" w:type="dxa"/>
              <w:bottom w:w="60" w:type="dxa"/>
              <w:right w:w="120" w:type="dxa"/>
            </w:tcMar>
          </w:tcPr>
          <w:p>
            <w:pPr>
              <w:spacing w:before="40" w:after="40"/>
            </w:pPr>
            <w:r>
              <w:rPr>
                <w:color w:val="555555"/>
                <w:sz w:val="18"/>
                <w:szCs w:val="18"/>
              </w:rPr>
              <w:t xml:space="preserve">Performance objectives for the next 90 days</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 / Pending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200" w:type="dxa"/>
            <w:shd w:val="clear" w:color="auto" w:fill="FDF0D5"/>
            <w:tcMar>
              <w:top w:w="60" w:type="dxa"/>
              <w:left w:w="120" w:type="dxa"/>
              <w:bottom w:w="60" w:type="dxa"/>
              <w:right w:w="120" w:type="dxa"/>
            </w:tcMar>
          </w:tcPr>
          <w:p>
            <w:pPr>
              <w:spacing w:before="40" w:after="40"/>
            </w:pPr>
            <w:r>
              <w:rPr>
                <w:color w:val="555555"/>
                <w:sz w:val="18"/>
                <w:szCs w:val="18"/>
              </w:rPr>
              <w:t xml:space="preserve">Development support available (training, coaching, peer shadowing)</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 / Pending</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4200" w:type="dxa"/>
            <w:shd w:val="clear" w:color="auto" w:fill="FDF0D5"/>
            <w:tcMar>
              <w:top w:w="60" w:type="dxa"/>
              <w:left w:w="120" w:type="dxa"/>
              <w:bottom w:w="60" w:type="dxa"/>
              <w:right w:w="120" w:type="dxa"/>
            </w:tcMar>
          </w:tcPr>
          <w:p>
            <w:pPr>
              <w:spacing w:before="40" w:after="40"/>
            </w:pPr>
            <w:r>
              <w:rPr>
                <w:color w:val="555555"/>
                <w:sz w:val="18"/>
                <w:szCs w:val="18"/>
              </w:rPr>
              <w:t xml:space="preserve">For regulated roles: LCCP/compliance accountabilities confirmed unchanged or updated</w:t>
            </w:r>
          </w:p>
        </w:tc>
        <w:tc>
          <w:tcPr>
            <w:tcW w:w="1400" w:type="dxa"/>
            <w:shd w:val="clear" w:color="auto" w:fill="FDF0D5"/>
            <w:tcMar>
              <w:top w:w="60" w:type="dxa"/>
              <w:left w:w="120" w:type="dxa"/>
              <w:bottom w:w="60" w:type="dxa"/>
              <w:right w:w="120" w:type="dxa"/>
            </w:tcMar>
          </w:tcPr>
          <w:p>
            <w:pPr>
              <w:spacing w:before="40" w:after="40"/>
            </w:pPr>
            <w:r>
              <w:rPr>
                <w:color w:val="555555"/>
                <w:sz w:val="18"/>
                <w:szCs w:val="18"/>
              </w:rPr>
              <w:t xml:space="preserve">Yes / No / N/A</w:t>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9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80" w:before="0"/>
      </w:pPr>
    </w:p>
    <w:p>
      <w:pPr>
        <w:pStyle w:val="Heading2"/>
        <w:spacing w:before="160" w:after="60"/>
      </w:pPr>
      <w:r>
        <w:rPr>
          <w:b/>
          <w:color w:val="C2A76D"/>
          <w:sz w:val="22"/>
          <w:szCs w:val="22"/>
        </w:rPr>
        <w:t>3.2  90-Day Performance Objectives</w:t>
      </w:r>
    </w:p>
    <w:p>
      <w:pPr>
        <w:spacing w:after="100" w:before="0"/>
      </w:pPr>
      <w:r>
        <w:rPr>
          <w:color w:val="555555"/>
          <w:sz w:val="20"/>
          <w:szCs w:val="20"/>
        </w:rPr>
        <w:t xml:space="preserve">Set specific, achievable objectives for the first 90 days in any changed role. These should reflect stabilisation and relationship-building, not transformational delivery.</w:t>
      </w:r>
    </w:p>
    <w:tbl>
      <w:tblPr>
        <w:tblStyle w:val="TableGrid"/>
        <w:tblW w:w="9746" w:type="dxa"/>
        <w:tblLook w:val="04A0"/>
      </w:tblPr>
      <w:tblGrid>
        <w:gridCol w:w="3000"/>
        <w:gridCol w:w="3400"/>
        <w:gridCol w:w="1800"/>
        <w:gridCol w:w="1546"/>
      </w:tblGrid>
      <w:tr>
        <w:tc>
          <w:tcPr>
            <w:tcW w:w="3000" w:type="dxa"/>
            <w:shd w:val="clear" w:color="auto" w:fill="1B2A4A"/>
            <w:tcMar>
              <w:top w:w="80" w:type="dxa"/>
              <w:left w:w="120" w:type="dxa"/>
              <w:bottom w:w="80" w:type="dxa"/>
              <w:right w:w="120" w:type="dxa"/>
            </w:tcMar>
          </w:tcPr>
          <w:p>
            <w:pPr>
              <w:spacing w:before="40" w:after="40"/>
            </w:pPr>
            <w:r>
              <w:rPr>
                <w:b/>
                <w:color w:val="FFFFFF"/>
                <w:sz w:val="18"/>
                <w:szCs w:val="18"/>
              </w:rPr>
              <w:t>Objective</w:t>
            </w:r>
          </w:p>
        </w:tc>
        <w:tc>
          <w:tcPr>
            <w:tcW w:w="3400" w:type="dxa"/>
            <w:shd w:val="clear" w:color="auto" w:fill="1B2A4A"/>
            <w:tcMar>
              <w:top w:w="80" w:type="dxa"/>
              <w:left w:w="120" w:type="dxa"/>
              <w:bottom w:w="80" w:type="dxa"/>
              <w:right w:w="120" w:type="dxa"/>
            </w:tcMar>
          </w:tcPr>
          <w:p>
            <w:pPr>
              <w:spacing w:before="40" w:after="40"/>
            </w:pPr>
            <w:r>
              <w:rPr>
                <w:b/>
                <w:color w:val="FFFFFF"/>
                <w:sz w:val="18"/>
                <w:szCs w:val="18"/>
              </w:rPr>
              <w:t>Success Criteria</w:t>
            </w:r>
          </w:p>
        </w:tc>
        <w:tc>
          <w:tcPr>
            <w:tcW w:w="1800" w:type="dxa"/>
            <w:shd w:val="clear" w:color="auto" w:fill="1B2A4A"/>
            <w:tcMar>
              <w:top w:w="80" w:type="dxa"/>
              <w:left w:w="120" w:type="dxa"/>
              <w:bottom w:w="80" w:type="dxa"/>
              <w:right w:w="120" w:type="dxa"/>
            </w:tcMar>
          </w:tcPr>
          <w:p>
            <w:pPr>
              <w:spacing w:before="40" w:after="40"/>
            </w:pPr>
            <w:r>
              <w:rPr>
                <w:b/>
                <w:color w:val="FFFFFF"/>
                <w:sz w:val="18"/>
                <w:szCs w:val="18"/>
              </w:rPr>
              <w:t>Due Date</w:t>
            </w:r>
          </w:p>
        </w:tc>
        <w:tc>
          <w:tcPr>
            <w:tcW w:w="1546" w:type="dxa"/>
            <w:shd w:val="clear" w:color="auto" w:fill="1B2A4A"/>
            <w:tcMar>
              <w:top w:w="80" w:type="dxa"/>
              <w:left w:w="120" w:type="dxa"/>
              <w:bottom w:w="80" w:type="dxa"/>
              <w:right w:w="120" w:type="dxa"/>
            </w:tcMar>
          </w:tcPr>
          <w:p>
            <w:pPr>
              <w:spacing w:before="40" w:after="40"/>
            </w:pPr>
            <w:r>
              <w:rPr>
                <w:b/>
                <w:color w:val="FFFFFF"/>
                <w:sz w:val="18"/>
                <w:szCs w:val="18"/>
              </w:rPr>
              <w:t>Status</w:t>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8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5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p>
      <w:pPr>
        <w:spacing w:after="80" w:before="0"/>
      </w:pPr>
    </w:p>
    <w:p>
      <w:pPr>
        <w:pStyle w:val="Heading1"/>
        <w:spacing w:before="240" w:after="80"/>
      </w:pPr>
      <w:r>
        <w:rPr>
          <w:b/>
          <w:color w:val="1B2A4A"/>
          <w:sz w:val="28"/>
          <w:szCs w:val="28"/>
        </w:rPr>
        <w:t>Part 4 — 90-Day Review</w:t>
      </w:r>
    </w:p>
    <w:p>
      <w:pPr>
        <w:pStyle w:val="Heading2"/>
        <w:spacing w:before="160" w:after="60"/>
      </w:pPr>
      <w:r>
        <w:rPr>
          <w:b/>
          <w:color w:val="C2A76D"/>
          <w:sz w:val="22"/>
          <w:szCs w:val="22"/>
        </w:rPr>
        <w:t>4.1  Organisational Health Indicators</w:t>
      </w:r>
    </w:p>
    <w:tbl>
      <w:tblPr>
        <w:tblStyle w:val="TableGrid"/>
        <w:tblW w:w="9746" w:type="dxa"/>
        <w:tblLook w:val="04A0"/>
      </w:tblPr>
      <w:tblGrid>
        <w:gridCol w:w="2200"/>
        <w:gridCol w:w="1600"/>
        <w:gridCol w:w="1600"/>
        <w:gridCol w:w="1600"/>
        <w:gridCol w:w="2746"/>
      </w:tblGrid>
      <w:tr>
        <w:tc>
          <w:tcPr>
            <w:tcW w:w="2200" w:type="dxa"/>
            <w:shd w:val="clear" w:color="auto" w:fill="1B2A4A"/>
            <w:tcMar>
              <w:top w:w="80" w:type="dxa"/>
              <w:left w:w="120" w:type="dxa"/>
              <w:bottom w:w="80" w:type="dxa"/>
              <w:right w:w="120" w:type="dxa"/>
            </w:tcMar>
          </w:tcPr>
          <w:p>
            <w:pPr>
              <w:spacing w:before="40" w:after="40"/>
            </w:pPr>
            <w:r>
              <w:rPr>
                <w:b/>
                <w:color w:val="FFFFFF"/>
                <w:sz w:val="18"/>
                <w:szCs w:val="18"/>
              </w:rPr>
              <w:t>Metric</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Week 4</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Week 8</w:t>
            </w:r>
          </w:p>
        </w:tc>
        <w:tc>
          <w:tcPr>
            <w:tcW w:w="1600" w:type="dxa"/>
            <w:shd w:val="clear" w:color="auto" w:fill="1B2A4A"/>
            <w:tcMar>
              <w:top w:w="80" w:type="dxa"/>
              <w:left w:w="120" w:type="dxa"/>
              <w:bottom w:w="80" w:type="dxa"/>
              <w:right w:w="120" w:type="dxa"/>
            </w:tcMar>
          </w:tcPr>
          <w:p>
            <w:pPr>
              <w:spacing w:before="40" w:after="40"/>
            </w:pPr>
            <w:r>
              <w:rPr>
                <w:b/>
                <w:color w:val="FFFFFF"/>
                <w:sz w:val="18"/>
                <w:szCs w:val="18"/>
              </w:rPr>
              <w:t>Week 12</w:t>
            </w:r>
          </w:p>
        </w:tc>
        <w:tc>
          <w:tcPr>
            <w:tcW w:w="2746" w:type="dxa"/>
            <w:shd w:val="clear" w:color="auto" w:fill="1B2A4A"/>
            <w:tcMar>
              <w:top w:w="80" w:type="dxa"/>
              <w:left w:w="120" w:type="dxa"/>
              <w:bottom w:w="80" w:type="dxa"/>
              <w:right w:w="120" w:type="dxa"/>
            </w:tcMar>
          </w:tcPr>
          <w:p>
            <w:pPr>
              <w:spacing w:before="40" w:after="40"/>
            </w:pPr>
            <w:r>
              <w:rPr>
                <w:b/>
                <w:color w:val="FFFFFF"/>
                <w:sz w:val="18"/>
                <w:szCs w:val="18"/>
              </w:rPr>
              <w:t>Target</w:t>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Voluntary turnover (resignations, annualised)</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Below pre-restructure baseline</w:t>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Absence rate</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Below industry average</w:t>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Open vacancies (new departures creating gaps)</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0 unexpected vacancies in critical roles</w:t>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Employee sentiment — pulse survey or 1:1 signals</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Improving from week 4 baseline</w:t>
            </w:r>
          </w:p>
        </w:tc>
      </w:tr>
      <w:tr>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Compliance function staffing — all roles filled or covered</w:t>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16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746" w:type="dxa"/>
            <w:shd w:val="clear" w:color="auto" w:fill="FDF0D5"/>
            <w:tcMar>
              <w:top w:w="60" w:type="dxa"/>
              <w:left w:w="120" w:type="dxa"/>
              <w:bottom w:w="60" w:type="dxa"/>
              <w:right w:w="120" w:type="dxa"/>
            </w:tcMar>
          </w:tcPr>
          <w:p>
            <w:pPr>
              <w:spacing w:before="40" w:after="40"/>
            </w:pPr>
            <w:r>
              <w:rPr>
                <w:color w:val="555555"/>
                <w:sz w:val="18"/>
                <w:szCs w:val="18"/>
              </w:rPr>
              <w:t xml:space="preserve">100% covered</w:t>
            </w:r>
          </w:p>
        </w:tc>
      </w:tr>
    </w:tbl>
    <w:p>
      <w:pPr>
        <w:spacing w:after="80" w:before="0"/>
      </w:pPr>
    </w:p>
    <w:p>
      <w:pPr>
        <w:pStyle w:val="Heading2"/>
        <w:spacing w:before="160" w:after="60"/>
      </w:pPr>
      <w:r>
        <w:rPr>
          <w:b/>
          <w:color w:val="C2A76D"/>
          <w:sz w:val="22"/>
          <w:szCs w:val="22"/>
        </w:rPr>
        <w:t>4.2  90-Day Assessment</w:t>
      </w:r>
    </w:p>
    <w:p>
      <w:pPr>
        <w:spacing w:after="60" w:before="100"/>
      </w:pPr>
      <w:r>
        <w:rPr>
          <w:b/>
          <w:color w:val="1B2A4A"/>
          <w:sz w:val="18"/>
          <w:szCs w:val="18"/>
        </w:rPr>
        <w:t>Overall assessment of post-restructure stability:</w:t>
      </w:r>
    </w:p>
    <w:p>
      <w:pPr>
        <w:spacing w:after="100" w:before="0"/>
      </w:pPr>
      <w:r>
        <w:rPr>
          <w:color w:val="555555"/>
          <w:sz w:val="20"/>
          <w:szCs w:val="20"/>
        </w:rPr>
        <w:t xml:space="preserve">Red / Amber / Green</w:t>
      </w:r>
    </w:p>
    <w:p>
      <w:pPr>
        <w:spacing w:after="60" w:before="100"/>
      </w:pPr>
      <w:r>
        <w:rPr>
          <w:b/>
          <w:color w:val="1B2A4A"/>
          <w:sz w:val="18"/>
          <w:szCs w:val="18"/>
        </w:rPr>
        <w:t>Key achievements in the first 90 days:</w:t>
      </w:r>
    </w:p>
    <w:p>
      <w:pPr>
        <w:spacing w:after="100" w:before="0"/>
      </w:pPr>
      <w:r>
        <w:rPr>
          <w:color w:val="555555"/>
          <w:sz w:val="20"/>
          <w:szCs w:val="20"/>
        </w:rPr>
        <w:t xml:space="preserve"/>
      </w:r>
    </w:p>
    <w:p>
      <w:pPr>
        <w:spacing w:after="60" w:before="100"/>
      </w:pPr>
      <w:r>
        <w:rPr>
          <w:b/>
          <w:color w:val="1B2A4A"/>
          <w:sz w:val="18"/>
          <w:szCs w:val="18"/>
        </w:rPr>
        <w:t>Remaining issues to address:</w:t>
      </w:r>
    </w:p>
    <w:p>
      <w:pPr>
        <w:spacing w:after="100" w:before="0"/>
      </w:pPr>
      <w:r>
        <w:rPr>
          <w:color w:val="555555"/>
          <w:sz w:val="20"/>
          <w:szCs w:val="20"/>
        </w:rPr>
        <w:t xml:space="preserve"/>
      </w:r>
    </w:p>
    <w:p>
      <w:pPr>
        <w:spacing w:after="60" w:before="100"/>
      </w:pPr>
      <w:r>
        <w:rPr>
          <w:b/>
          <w:color w:val="1B2A4A"/>
          <w:sz w:val="18"/>
          <w:szCs w:val="18"/>
        </w:rPr>
        <w:t>Any regulatory obligations or PML/KI gaps still open:</w:t>
      </w:r>
    </w:p>
    <w:p>
      <w:pPr>
        <w:spacing w:after="100" w:before="0"/>
      </w:pPr>
      <w:r>
        <w:rPr>
          <w:color w:val="555555"/>
          <w:sz w:val="20"/>
          <w:szCs w:val="20"/>
        </w:rPr>
        <w:t xml:space="preserve"/>
      </w:r>
    </w:p>
    <w:p>
      <w:pPr>
        <w:spacing w:after="60" w:before="100"/>
      </w:pPr>
      <w:r>
        <w:rPr>
          <w:b/>
          <w:color w:val="1B2A4A"/>
          <w:sz w:val="18"/>
          <w:szCs w:val="18"/>
        </w:rPr>
        <w:t>Actions required for the next 90 days:</w:t>
      </w:r>
    </w:p>
    <w:p>
      <w:pPr>
        <w:spacing w:after="100" w:before="0"/>
      </w:pPr>
      <w:r>
        <w:rPr>
          <w:color w:val="555555"/>
          <w:sz w:val="20"/>
          <w:szCs w:val="20"/>
        </w:rPr>
        <w:t xml:space="preserve"/>
      </w:r>
    </w:p>
    <w:p>
      <w:pPr>
        <w:spacing w:after="60" w:before="0"/>
      </w:pPr>
    </w:p>
    <w:tbl>
      <w:tblPr>
        <w:tblStyle w:val="TableGrid"/>
        <w:tblW w:w="9746" w:type="dxa"/>
        <w:tblLook w:val="04A0"/>
      </w:tblPr>
      <w:tblGrid>
        <w:gridCol w:w="3400"/>
        <w:gridCol w:w="2200"/>
        <w:gridCol w:w="2000"/>
        <w:gridCol w:w="2146"/>
      </w:tblGrid>
      <w:tr>
        <w:tc>
          <w:tcPr>
            <w:tcW w:w="3400" w:type="dxa"/>
            <w:shd w:val="clear" w:color="auto" w:fill="1B2A4A"/>
            <w:tcMar>
              <w:top w:w="80" w:type="dxa"/>
              <w:left w:w="120" w:type="dxa"/>
              <w:bottom w:w="80" w:type="dxa"/>
              <w:right w:w="120" w:type="dxa"/>
            </w:tcMar>
          </w:tcPr>
          <w:p>
            <w:pPr>
              <w:spacing w:before="40" w:after="40"/>
            </w:pPr>
            <w:r>
              <w:rPr>
                <w:b/>
                <w:color w:val="FFFFFF"/>
                <w:sz w:val="18"/>
                <w:szCs w:val="18"/>
              </w:rPr>
              <w:t>Priority Action</w:t>
            </w:r>
          </w:p>
        </w:tc>
        <w:tc>
          <w:tcPr>
            <w:tcW w:w="2200" w:type="dxa"/>
            <w:shd w:val="clear" w:color="auto" w:fill="1B2A4A"/>
            <w:tcMar>
              <w:top w:w="80" w:type="dxa"/>
              <w:left w:w="120" w:type="dxa"/>
              <w:bottom w:w="80" w:type="dxa"/>
              <w:right w:w="120" w:type="dxa"/>
            </w:tcMar>
          </w:tcPr>
          <w:p>
            <w:pPr>
              <w:spacing w:before="40" w:after="40"/>
            </w:pPr>
            <w:r>
              <w:rPr>
                <w:b/>
                <w:color w:val="FFFFFF"/>
                <w:sz w:val="18"/>
                <w:szCs w:val="18"/>
              </w:rPr>
              <w:t>Owner</w:t>
            </w:r>
          </w:p>
        </w:tc>
        <w:tc>
          <w:tcPr>
            <w:tcW w:w="2000" w:type="dxa"/>
            <w:shd w:val="clear" w:color="auto" w:fill="1B2A4A"/>
            <w:tcMar>
              <w:top w:w="80" w:type="dxa"/>
              <w:left w:w="120" w:type="dxa"/>
              <w:bottom w:w="80" w:type="dxa"/>
              <w:right w:w="120" w:type="dxa"/>
            </w:tcMar>
          </w:tcPr>
          <w:p>
            <w:pPr>
              <w:spacing w:before="40" w:after="40"/>
            </w:pPr>
            <w:r>
              <w:rPr>
                <w:b/>
                <w:color w:val="FFFFFF"/>
                <w:sz w:val="18"/>
                <w:szCs w:val="18"/>
              </w:rPr>
              <w:t>Due Date</w:t>
            </w:r>
          </w:p>
        </w:tc>
        <w:tc>
          <w:tcPr>
            <w:tcW w:w="2146" w:type="dxa"/>
            <w:shd w:val="clear" w:color="auto" w:fill="1B2A4A"/>
            <w:tcMar>
              <w:top w:w="80" w:type="dxa"/>
              <w:left w:w="120" w:type="dxa"/>
              <w:bottom w:w="80" w:type="dxa"/>
              <w:right w:w="120" w:type="dxa"/>
            </w:tcMar>
          </w:tcPr>
          <w:p>
            <w:pPr>
              <w:spacing w:before="40" w:after="40"/>
            </w:pPr>
            <w:r>
              <w:rPr>
                <w:b/>
                <w:color w:val="FFFFFF"/>
                <w:sz w:val="18"/>
                <w:szCs w:val="18"/>
              </w:rPr>
              <w:t>Status</w:t>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r>
        <w:tc>
          <w:tcPr>
            <w:tcW w:w="34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2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000"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c>
          <w:tcPr>
            <w:tcW w:w="2146" w:type="dxa"/>
            <w:shd w:val="clear" w:color="auto" w:fill="FDF0D5"/>
            <w:tcMar>
              <w:top w:w="60" w:type="dxa"/>
              <w:left w:w="120" w:type="dxa"/>
              <w:bottom w:w="60" w:type="dxa"/>
              <w:right w:w="120" w:type="dxa"/>
            </w:tcMar>
          </w:tcPr>
          <w:p>
            <w:pPr>
              <w:spacing w:before="40" w:after="40"/>
            </w:pPr>
            <w:r>
              <w:rPr>
                <w:color w:val="555555"/>
                <w:sz w:val="18"/>
                <w:szCs w:val="18"/>
              </w:rPr>
              <w:t xml:space="preserve"/>
            </w:r>
          </w:p>
        </w:tc>
      </w:tr>
    </w:tbl>
    <w:sectPr>
      <w:footerReference w:type="default" r:id="rId4"/>
      <w:headerReference w:type="default" r:id="rId3"/>
      <w:pgSz w:w="11906" w:h="16838"/>
      <w:pgMar w:top="1080" w:right="1080" w:bottom="1080" w:left="1080" w:header="708" w:footer="708" w:gutter="0"/>
    </w:sectPr>
  </w:body>
</w:document>
</file>

<file path=word/footer1.xml><?xml version="1.0" encoding="utf-8"?>
<w:ftr xmlns:w="http://schemas.openxmlformats.org/wordprocessingml/2006/main">
  <w:p>
    <w:pPr>
      <w:pBdr>
        <w:top w:val="single" w:color="C2A76D" w:sz="4" w:space="4"/>
      </w:pBdr>
      <w:spacing w:before="60" w:after="0"/>
      <w:jc w:val="left"/>
    </w:pPr>
    <w:r>
      <w:rPr>
        <w:rFonts w:ascii="Arial" w:cs="Arial" w:hAnsi="Arial"/>
        <w:color w:val="777777"/>
        <w:sz w:val="14"/>
        <w:szCs w:val="14"/>
      </w:rPr>
      <w:t xml:space="preserve">DISCLAIMER: This tool is provided for informational and planning purposes only. It does not constitute legal, financial, regulatory, or professional advice. The Gaming Boardroom accepts no liability for any decisions made or actions taken in reliance on this material. Before implementing any recommendations or using outputs in regulatory, legal, financial, or compliance contexts, you should seek qualified professional advice appropriate to your specific circumstances and jurisdiction.</w:t>
    </w:r>
  </w:p>
</w:ftr>
</file>

<file path=word/header1.xml><?xml version="1.0" encoding="utf-8"?>
<w:hdr xmlns:r="http://schemas.openxmlformats.org/officeDocument/2006/relationships" xmlns:wp="http://schemas.openxmlformats.org/drawingml/2006/wordprocessingDrawing" xmlns:a="http://schemas.openxmlformats.org/drawingml/2006/main" xmlns:pic="http://schemas.openxmlformats.org/drawingml/2006/picture" xmlns:w="http://schemas.openxmlformats.org/wordprocessingml/2006/main">
  <w:p>
    <w:pPr>
      <w:pBdr>
        <w:bottom w:val="single" w:color="C2A76D" w:sz="10" w:space="6"/>
      </w:pBdr>
      <w:tabs>
        <w:tab w:val="right" w:pos="9746"/>
      </w:tabs>
      <w:spacing w:after="80"/>
    </w:pPr>
    <w:r>
      <w:drawing>
        <wp:inline distT="0" distB="0" distL="0" distR="0">
          <wp:extent cx="1409700" cy="495300"/>
          <wp:effectExtent t="0" r="0" b="0" l="0"/>
          <wp:docPr id="1" name="TGB Logo" descr="TGB Logo" title="The Gaming Boardroom"/>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_LOGO" cstate="none"/>
                  <a:srcRect/>
                  <a:stretch>
                    <a:fillRect/>
                  </a:stretch>
                </pic:blipFill>
                <pic:spPr bwMode="auto">
                  <a:xfrm>
                    <a:off x="0" y="0"/>
                    <a:ext cx="1409700" cy="495300"/>
                  </a:xfrm>
                  <a:prstGeom prst="rect">
                    <a:avLst/>
                  </a:prstGeom>
                </pic:spPr>
              </pic:pic>
            </a:graphicData>
          </a:graphic>
        </wp:inline>
      </w:drawing>
    </w:r>
    <w:r>
      <w:rPr>
        <w:rFonts w:ascii="Arial" w:cs="Arial" w:eastAsia="Arial" w:hAnsi="Arial"/>
        <w:b/>
        <w:bCs/>
        <w:color w:val="1B2A4A"/>
        <w:sz w:val="20"/>
        <w:szCs w:val="20"/>
      </w:rPr>
      <w:t xml:space="preserve">	Post-Restructure Retention and Performance Framework</w:t>
    </w:r>
  </w:p>
</w:hd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sz w:val="20"/>
        <w:szCs w:val="20"/>
        <w:color w:val="555555"/>
      </w:rPr>
    </w:rPrDefault>
  </w:docDefaults>
  <w:style w:type="paragraph" w:styleId="Normal">
    <w:name w:val="Normal"/>
    <w:pPr>
      <w:spacing w:after="120" w:before="0"/>
    </w:pPr>
  </w:style>
  <w:style w:type="paragraph" w:styleId="Heading1">
    <w:name w:val="heading 1"/>
    <w:pPr>
      <w:spacing w:before="240" w:after="80"/>
      <w:outlineLvl w:val="0"/>
    </w:pPr>
    <w:rPr>
      <w:b/>
      <w:color w:val="1B2A4A"/>
      <w:sz w:val="28"/>
      <w:szCs w:val="28"/>
    </w:rPr>
  </w:style>
  <w:style w:type="paragraph" w:styleId="Heading2">
    <w:name w:val="heading 2"/>
    <w:pPr>
      <w:spacing w:before="160" w:after="60"/>
    </w:pPr>
    <w:rPr>
      <w:b/>
      <w:color w:val="C2A76D"/>
      <w:sz w:val="22"/>
      <w:szCs w:val="22"/>
    </w:rPr>
  </w:style>
  <w:style w:type="table" w:styleId="TableGrid">
    <w:name w:val="Table 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s>
</file>

<file path=word/_rels/footer1.xml.rels><?xml version="1.0" encoding="UTF-8" standalone="yes"?>
<Relationships xmlns="http://schemas.openxmlformats.org/package/2006/relationships">
</Relationships>
</file>

<file path=word/_rels/header1.xml.rels><?xml version="1.0" encoding="UTF-8" standalone="yes"?>
<Relationships xmlns="http://schemas.openxmlformats.org/package/2006/relationships">
  <Relationship Id="rId_LOGO" Type="http://schemas.openxmlformats.org/officeDocument/2006/relationships/image" Target="media/tgb_logo.png"/>
</Relationships>
</file>

<file path=docProps/core.xml><?xml version="1.0" encoding="utf-8"?>
<cp:coreProperties xmlns:cp="http://schemas.openxmlformats.org/package/2006/metadata/core-properties" xmlns:dc="http://purl.org/dc/elements/1.1/" xmlns:dcterms="http://purl.org/dc/terms/" xmlns:xsi="http://www.w3.org/2001/XMLSchema-instance">
  <dc:title>Post-Restructure Retention and Performance Framework</dc:title>
  <dc:subject>Workforce Change Management Bundle</dc:subject>
  <dc:creator>The Gaming Boardroom</dc:creator>
  <cp:keywords>HR and Talent Management | Framework | Workforce Change Management Bundle | Standalone | HIGH</cp:keywords>
  <dc:description>Four-part post-restructure retention and performance framework for gambling operators.</dc:description>
  <cp:category>HR and Talent Management</cp:category>
  <cp:contentStatus>Final</cp:contentStatus>
</cp:coreProperties>
</file>