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0745C" w14:textId="21A5316B" w:rsidR="00FE315B" w:rsidRDefault="00FE315B" w:rsidP="00FE315B">
      <w:pPr>
        <w:spacing w:after="120"/>
        <w:jc w:val="right"/>
        <w:rPr>
          <w:b/>
          <w:bCs/>
          <w:caps/>
          <w:color w:val="C9952B"/>
          <w:sz w:val="18"/>
          <w:szCs w:val="18"/>
        </w:rPr>
      </w:pPr>
      <w:r>
        <w:rPr>
          <w:b/>
          <w:bCs/>
          <w:caps/>
          <w:noProof/>
          <w:color w:val="C9952B"/>
          <w:sz w:val="18"/>
          <w:szCs w:val="18"/>
        </w:rPr>
        <w:drawing>
          <wp:inline distT="0" distB="0" distL="0" distR="0" wp14:anchorId="59658B38" wp14:editId="4441A8B7">
            <wp:extent cx="1905000" cy="675457"/>
            <wp:effectExtent l="0" t="0" r="0" b="0"/>
            <wp:docPr id="1025097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97941" name="Picture 1025097941"/>
                    <pic:cNvPicPr/>
                  </pic:nvPicPr>
                  <pic:blipFill>
                    <a:blip r:embed="rId5">
                      <a:extLst>
                        <a:ext uri="{28A0092B-C50C-407E-A947-70E740481C1C}">
                          <a14:useLocalDpi xmlns:a14="http://schemas.microsoft.com/office/drawing/2010/main" val="0"/>
                        </a:ext>
                      </a:extLst>
                    </a:blip>
                    <a:stretch>
                      <a:fillRect/>
                    </a:stretch>
                  </pic:blipFill>
                  <pic:spPr>
                    <a:xfrm>
                      <a:off x="0" y="0"/>
                      <a:ext cx="1916080" cy="679386"/>
                    </a:xfrm>
                    <a:prstGeom prst="rect">
                      <a:avLst/>
                    </a:prstGeom>
                  </pic:spPr>
                </pic:pic>
              </a:graphicData>
            </a:graphic>
          </wp:inline>
        </w:drawing>
      </w:r>
    </w:p>
    <w:p w14:paraId="356F6F6A" w14:textId="383473EF" w:rsidR="009F78D9" w:rsidRDefault="00000000">
      <w:pPr>
        <w:spacing w:after="120"/>
      </w:pPr>
      <w:r>
        <w:rPr>
          <w:b/>
          <w:bCs/>
          <w:caps/>
          <w:color w:val="C9952B"/>
          <w:sz w:val="18"/>
          <w:szCs w:val="18"/>
        </w:rPr>
        <w:t>The Gaming Boardroom</w:t>
      </w:r>
    </w:p>
    <w:p w14:paraId="0F1207EF" w14:textId="77777777" w:rsidR="009F78D9" w:rsidRDefault="00000000">
      <w:pPr>
        <w:spacing w:after="100"/>
      </w:pPr>
      <w:r>
        <w:rPr>
          <w:b/>
          <w:bCs/>
          <w:color w:val="1B3A5C"/>
          <w:sz w:val="44"/>
          <w:szCs w:val="44"/>
        </w:rPr>
        <w:t>The Regulatory Transition Checklist</w:t>
      </w:r>
    </w:p>
    <w:p w14:paraId="41C707CF" w14:textId="77777777" w:rsidR="009F78D9" w:rsidRDefault="00000000">
      <w:pPr>
        <w:spacing w:after="60"/>
      </w:pPr>
      <w:r>
        <w:rPr>
          <w:i/>
          <w:iCs/>
          <w:color w:val="666666"/>
          <w:sz w:val="26"/>
          <w:szCs w:val="26"/>
        </w:rPr>
        <w:t>What Smart Operators Do When Their Regulator Changes Leadership</w:t>
      </w:r>
    </w:p>
    <w:p w14:paraId="0B835B95" w14:textId="77777777" w:rsidR="009F78D9" w:rsidRDefault="009F78D9">
      <w:pPr>
        <w:pBdr>
          <w:bottom w:val="single" w:sz="12" w:space="1" w:color="C9952B"/>
        </w:pBdr>
        <w:spacing w:before="60" w:after="200"/>
      </w:pPr>
    </w:p>
    <w:p w14:paraId="495D0C44" w14:textId="77777777" w:rsidR="009F78D9" w:rsidRDefault="00000000">
      <w:pPr>
        <w:spacing w:after="60"/>
      </w:pPr>
      <w:r>
        <w:rPr>
          <w:color w:val="1A1A1A"/>
        </w:rPr>
        <w:t>A change at the top of a regulator is not a routine personnel matter. It is a signal. The new chief executive will want to make their mark, and they will do it through enforcement priorities, policy emphasis, and the tone they set with industry. If you are not paying attention in the first few months, you will be on the back foot when it starts to matter. This checklist tells you what to do now, what to watch for, and the three questions you should be asking your compliance team this week.</w:t>
      </w:r>
    </w:p>
    <w:p w14:paraId="11AC5BD5" w14:textId="77777777" w:rsidR="009F78D9" w:rsidRDefault="009F78D9">
      <w:pPr>
        <w:pBdr>
          <w:bottom w:val="single" w:sz="12" w:space="1" w:color="1B3A5C"/>
        </w:pBdr>
        <w:spacing w:before="60" w:after="200"/>
      </w:pPr>
    </w:p>
    <w:p w14:paraId="1C4BA6AA" w14:textId="77777777" w:rsidR="009F78D9" w:rsidRDefault="00000000">
      <w:pPr>
        <w:spacing w:before="360" w:after="100"/>
      </w:pPr>
      <w:r>
        <w:rPr>
          <w:b/>
          <w:bCs/>
          <w:caps/>
          <w:color w:val="C9952B"/>
          <w:sz w:val="18"/>
          <w:szCs w:val="18"/>
        </w:rPr>
        <w:t>Section One</w:t>
      </w:r>
    </w:p>
    <w:p w14:paraId="1D4588A6" w14:textId="77777777" w:rsidR="009F78D9" w:rsidRDefault="00000000">
      <w:pPr>
        <w:spacing w:before="60" w:after="60"/>
      </w:pPr>
      <w:r>
        <w:rPr>
          <w:b/>
          <w:bCs/>
          <w:color w:val="1B3A5C"/>
          <w:sz w:val="30"/>
          <w:szCs w:val="30"/>
        </w:rPr>
        <w:t>Five things to do in the next two weeks</w:t>
      </w:r>
    </w:p>
    <w:p w14:paraId="0F980753" w14:textId="77777777" w:rsidR="009F78D9" w:rsidRDefault="00000000">
      <w:pPr>
        <w:spacing w:before="80" w:after="240"/>
      </w:pPr>
      <w:r>
        <w:rPr>
          <w:i/>
          <w:iCs/>
          <w:color w:val="666666"/>
          <w:sz w:val="21"/>
          <w:szCs w:val="21"/>
        </w:rPr>
        <w:t>Do not wait to see what kind of regulator they will be. Act on the assumption that scrutiny will increase and that any outstanding looseness in your compliance position will be noticed earlier rather than later.</w:t>
      </w:r>
    </w:p>
    <w:p w14:paraId="565DA569" w14:textId="27BE612F" w:rsidR="009F78D9" w:rsidRDefault="00000000">
      <w:pPr>
        <w:pStyle w:val="ListParagraph"/>
        <w:numPr>
          <w:ilvl w:val="0"/>
          <w:numId w:val="2"/>
        </w:numPr>
        <w:spacing w:before="140" w:after="140"/>
      </w:pPr>
      <w:r>
        <w:rPr>
          <w:b/>
          <w:bCs/>
          <w:color w:val="1A1A1A"/>
        </w:rPr>
        <w:t xml:space="preserve">Audit your open correspondence with the regulator. </w:t>
      </w:r>
      <w:r>
        <w:rPr>
          <w:color w:val="1A1A1A"/>
        </w:rPr>
        <w:t>Every unanswered query, every pending undertaking, every commitment made in a previous supervisory visit that has not yet been fully evidenced</w:t>
      </w:r>
      <w:r w:rsidR="00FE315B">
        <w:rPr>
          <w:color w:val="1A1A1A"/>
        </w:rPr>
        <w:t xml:space="preserve">, </w:t>
      </w:r>
      <w:r>
        <w:rPr>
          <w:color w:val="1A1A1A"/>
        </w:rPr>
        <w:t xml:space="preserve">pull </w:t>
      </w:r>
      <w:r w:rsidR="00FE315B">
        <w:rPr>
          <w:color w:val="1A1A1A"/>
        </w:rPr>
        <w:t>them</w:t>
      </w:r>
      <w:r>
        <w:rPr>
          <w:color w:val="1A1A1A"/>
        </w:rPr>
        <w:t xml:space="preserve"> into a single document this week. New leadership will review caseloads. You do not want an inherited file that looks like you have been </w:t>
      </w:r>
      <w:proofErr w:type="gramStart"/>
      <w:r>
        <w:rPr>
          <w:color w:val="1A1A1A"/>
        </w:rPr>
        <w:t>slow-walking</w:t>
      </w:r>
      <w:proofErr w:type="gramEnd"/>
      <w:r>
        <w:rPr>
          <w:color w:val="1A1A1A"/>
        </w:rPr>
        <w:t xml:space="preserve"> your obligations.</w:t>
      </w:r>
    </w:p>
    <w:p w14:paraId="619F9811" w14:textId="77777777" w:rsidR="009F78D9" w:rsidRDefault="00000000">
      <w:pPr>
        <w:pStyle w:val="ListParagraph"/>
        <w:numPr>
          <w:ilvl w:val="0"/>
          <w:numId w:val="2"/>
        </w:numPr>
        <w:spacing w:before="140" w:after="140"/>
      </w:pPr>
      <w:r>
        <w:rPr>
          <w:b/>
          <w:bCs/>
          <w:color w:val="1A1A1A"/>
        </w:rPr>
        <w:t xml:space="preserve">Map your compliance team's personal contacts. </w:t>
      </w:r>
      <w:r>
        <w:rPr>
          <w:color w:val="1A1A1A"/>
        </w:rPr>
        <w:t>Regulatory relationships are built on individuals, not institutions. If your head of compliance has a direct line to two or three supervisors at the UKGC or MGA, find out whether those people are still in post, whether they are likely to remain so, and whether new leadership typically displaces frontline supervisory staff. Document the contacts you have and identify where the gaps will be if those relationships shift.</w:t>
      </w:r>
    </w:p>
    <w:p w14:paraId="4299A5BC" w14:textId="77777777" w:rsidR="009F78D9" w:rsidRDefault="00000000">
      <w:pPr>
        <w:pStyle w:val="ListParagraph"/>
        <w:numPr>
          <w:ilvl w:val="0"/>
          <w:numId w:val="2"/>
        </w:numPr>
        <w:spacing w:before="140" w:after="140"/>
      </w:pPr>
      <w:r>
        <w:rPr>
          <w:b/>
          <w:bCs/>
          <w:color w:val="1A1A1A"/>
        </w:rPr>
        <w:t xml:space="preserve">Review any active or recently closed enforcement matters. </w:t>
      </w:r>
      <w:r>
        <w:rPr>
          <w:color w:val="1A1A1A"/>
        </w:rPr>
        <w:t xml:space="preserve">If you have had a warning, a fine, or a formal regulatory engagement in the past three years, assume the new chief executive will read those files early. They will want to know who </w:t>
      </w:r>
      <w:proofErr w:type="gramStart"/>
      <w:r>
        <w:rPr>
          <w:color w:val="1A1A1A"/>
        </w:rPr>
        <w:t>has been a problem</w:t>
      </w:r>
      <w:proofErr w:type="gramEnd"/>
      <w:r>
        <w:rPr>
          <w:color w:val="1A1A1A"/>
        </w:rPr>
        <w:t xml:space="preserve"> and whether remediation was genuine. Brief your board now so they are not caught flat-footed if questions are raised.</w:t>
      </w:r>
    </w:p>
    <w:p w14:paraId="1B77E3CF" w14:textId="77777777" w:rsidR="009F78D9" w:rsidRDefault="00000000">
      <w:pPr>
        <w:pStyle w:val="ListParagraph"/>
        <w:numPr>
          <w:ilvl w:val="0"/>
          <w:numId w:val="2"/>
        </w:numPr>
        <w:spacing w:before="140" w:after="140"/>
      </w:pPr>
      <w:r>
        <w:rPr>
          <w:b/>
          <w:bCs/>
          <w:color w:val="1A1A1A"/>
        </w:rPr>
        <w:t xml:space="preserve">Check your licence conditions against your current operating reality. </w:t>
      </w:r>
      <w:r>
        <w:rPr>
          <w:color w:val="1A1A1A"/>
        </w:rPr>
        <w:t>Businesses change faster than compliance programmes sometimes keep pace with. Run a rapid gap analysis between your current licence conditions and how you are actually operating — products, markets, marketing channels, third-party arrangements. If anything has drifted, get it back into alignment before a supervisory visit surfaces it under new management.</w:t>
      </w:r>
    </w:p>
    <w:p w14:paraId="616B2CC0" w14:textId="0D208038" w:rsidR="009F78D9" w:rsidRDefault="00000000">
      <w:pPr>
        <w:pStyle w:val="ListParagraph"/>
        <w:numPr>
          <w:ilvl w:val="0"/>
          <w:numId w:val="2"/>
        </w:numPr>
        <w:spacing w:before="140" w:after="140"/>
      </w:pPr>
      <w:r>
        <w:rPr>
          <w:b/>
          <w:bCs/>
          <w:color w:val="1A1A1A"/>
        </w:rPr>
        <w:t xml:space="preserve">Brief your board and senior leadership team. </w:t>
      </w:r>
      <w:r>
        <w:rPr>
          <w:color w:val="1A1A1A"/>
        </w:rPr>
        <w:t xml:space="preserve">Frame it correctly: this is not </w:t>
      </w:r>
      <w:r w:rsidR="00FE315B">
        <w:rPr>
          <w:color w:val="1A1A1A"/>
        </w:rPr>
        <w:t xml:space="preserve">an </w:t>
      </w:r>
      <w:r>
        <w:rPr>
          <w:color w:val="1A1A1A"/>
        </w:rPr>
        <w:t>alarm</w:t>
      </w:r>
      <w:r w:rsidR="00FE315B">
        <w:rPr>
          <w:color w:val="1A1A1A"/>
        </w:rPr>
        <w:t>;</w:t>
      </w:r>
      <w:r>
        <w:rPr>
          <w:color w:val="1A1A1A"/>
        </w:rPr>
        <w:t xml:space="preserve"> it is professionalism. The board should know that a regulatory transition is underway, what your current compliance position </w:t>
      </w:r>
      <w:r w:rsidR="00FE315B">
        <w:rPr>
          <w:color w:val="1A1A1A"/>
        </w:rPr>
        <w:t>is, and what the next 90 days of monitoring will entail</w:t>
      </w:r>
      <w:r>
        <w:rPr>
          <w:color w:val="1A1A1A"/>
        </w:rPr>
        <w:t>. If something does escalate, you want your board to look informed, not surprised.</w:t>
      </w:r>
    </w:p>
    <w:p w14:paraId="67A0B690" w14:textId="77777777" w:rsidR="009F78D9" w:rsidRDefault="009F78D9">
      <w:pPr>
        <w:pBdr>
          <w:bottom w:val="single" w:sz="12" w:space="1" w:color="1B3A5C"/>
        </w:pBdr>
        <w:spacing w:before="60" w:after="200"/>
      </w:pPr>
    </w:p>
    <w:p w14:paraId="367DEF39" w14:textId="77777777" w:rsidR="00FE315B" w:rsidRDefault="00FE315B">
      <w:pPr>
        <w:spacing w:before="360" w:after="100"/>
        <w:rPr>
          <w:b/>
          <w:bCs/>
          <w:caps/>
          <w:color w:val="C9952B"/>
          <w:sz w:val="18"/>
          <w:szCs w:val="18"/>
        </w:rPr>
      </w:pPr>
    </w:p>
    <w:p w14:paraId="3299E174" w14:textId="77777777" w:rsidR="00FE315B" w:rsidRDefault="00FE315B">
      <w:pPr>
        <w:spacing w:before="360" w:after="100"/>
        <w:rPr>
          <w:b/>
          <w:bCs/>
          <w:caps/>
          <w:color w:val="C9952B"/>
          <w:sz w:val="18"/>
          <w:szCs w:val="18"/>
        </w:rPr>
      </w:pPr>
    </w:p>
    <w:p w14:paraId="1B8892F9" w14:textId="184F3B12" w:rsidR="009F78D9" w:rsidRDefault="00000000">
      <w:pPr>
        <w:spacing w:before="360" w:after="100"/>
      </w:pPr>
      <w:r>
        <w:rPr>
          <w:b/>
          <w:bCs/>
          <w:caps/>
          <w:color w:val="C9952B"/>
          <w:sz w:val="18"/>
          <w:szCs w:val="18"/>
        </w:rPr>
        <w:t>Section Two</w:t>
      </w:r>
    </w:p>
    <w:p w14:paraId="617B1A12" w14:textId="77777777" w:rsidR="009F78D9" w:rsidRDefault="00000000">
      <w:pPr>
        <w:spacing w:before="60" w:after="60"/>
      </w:pPr>
      <w:r>
        <w:rPr>
          <w:b/>
          <w:bCs/>
          <w:color w:val="1B3A5C"/>
          <w:sz w:val="30"/>
          <w:szCs w:val="30"/>
        </w:rPr>
        <w:t>Five things to watch over the next 90 days</w:t>
      </w:r>
    </w:p>
    <w:p w14:paraId="4AA4068C" w14:textId="77777777" w:rsidR="009F78D9" w:rsidRDefault="00000000">
      <w:pPr>
        <w:spacing w:before="80" w:after="240"/>
      </w:pPr>
      <w:r>
        <w:rPr>
          <w:i/>
          <w:iCs/>
          <w:color w:val="666666"/>
          <w:sz w:val="21"/>
          <w:szCs w:val="21"/>
        </w:rPr>
        <w:t>The first ninety days tell you whether you are dealing with a reformer or a pragmatist. Watch what they do, not what they say in their initial public statements — incoming chief executives always sound measured and constructive at the start.</w:t>
      </w:r>
    </w:p>
    <w:p w14:paraId="119BF2D1" w14:textId="77777777" w:rsidR="009F78D9" w:rsidRDefault="00000000">
      <w:pPr>
        <w:pStyle w:val="ListParagraph"/>
        <w:numPr>
          <w:ilvl w:val="0"/>
          <w:numId w:val="2"/>
        </w:numPr>
        <w:spacing w:before="140" w:after="140"/>
      </w:pPr>
      <w:r>
        <w:rPr>
          <w:b/>
          <w:bCs/>
          <w:color w:val="1A1A1A"/>
        </w:rPr>
        <w:t xml:space="preserve">Their first significant enforcement action. </w:t>
      </w:r>
      <w:r>
        <w:rPr>
          <w:color w:val="1A1A1A"/>
        </w:rPr>
        <w:t>The first case pursued under new leadership tells you where the priorities lie. Is it a marketing breach? An AML failure? A responsible gambling lapse? The category matters as much as the size of the fine. It signals which part of the industry they believe has been getting away with too much.</w:t>
      </w:r>
    </w:p>
    <w:p w14:paraId="26BEFA1E" w14:textId="77777777" w:rsidR="009F78D9" w:rsidRDefault="00000000">
      <w:pPr>
        <w:pStyle w:val="ListParagraph"/>
        <w:numPr>
          <w:ilvl w:val="0"/>
          <w:numId w:val="2"/>
        </w:numPr>
        <w:spacing w:before="140" w:after="140"/>
      </w:pPr>
      <w:r>
        <w:rPr>
          <w:b/>
          <w:bCs/>
          <w:color w:val="1A1A1A"/>
        </w:rPr>
        <w:t xml:space="preserve">Their approach to industry engagement. </w:t>
      </w:r>
      <w:r>
        <w:rPr>
          <w:color w:val="1A1A1A"/>
        </w:rPr>
        <w:t>Do they reach out to trade bodies quickly, or do they maintain distance? Do they attend industry forums or stay arm's-length? Leaders who engage early tend to be building relationships before they regulate. Those who stay distant are often building cases. Neither is inherently good or bad, but you need to know which you are dealing with.</w:t>
      </w:r>
    </w:p>
    <w:p w14:paraId="078E219A" w14:textId="79A4FAA4" w:rsidR="009F78D9" w:rsidRDefault="00000000">
      <w:pPr>
        <w:pStyle w:val="ListParagraph"/>
        <w:numPr>
          <w:ilvl w:val="0"/>
          <w:numId w:val="2"/>
        </w:numPr>
        <w:spacing w:before="140" w:after="140"/>
      </w:pPr>
      <w:r>
        <w:rPr>
          <w:b/>
          <w:bCs/>
          <w:color w:val="1A1A1A"/>
        </w:rPr>
        <w:t xml:space="preserve">Policy announcements and consultation priorities. </w:t>
      </w:r>
      <w:r>
        <w:rPr>
          <w:color w:val="1A1A1A"/>
        </w:rPr>
        <w:t xml:space="preserve">Watch which consultations they launch and which they let lapse. A new chief executive who revives a consultation that had quietly stalled is telling you something important about the direction of travel. New consultations that were not flagged under the previous leadership </w:t>
      </w:r>
      <w:r w:rsidR="00FE315B">
        <w:rPr>
          <w:color w:val="1A1A1A"/>
        </w:rPr>
        <w:t>are a sign of</w:t>
      </w:r>
      <w:r>
        <w:rPr>
          <w:color w:val="1A1A1A"/>
        </w:rPr>
        <w:t xml:space="preserve"> a personal agenda.</w:t>
      </w:r>
    </w:p>
    <w:p w14:paraId="72ABB61B" w14:textId="77777777" w:rsidR="009F78D9" w:rsidRDefault="00000000">
      <w:pPr>
        <w:pStyle w:val="ListParagraph"/>
        <w:numPr>
          <w:ilvl w:val="0"/>
          <w:numId w:val="2"/>
        </w:numPr>
        <w:spacing w:before="140" w:after="140"/>
      </w:pPr>
      <w:r>
        <w:rPr>
          <w:b/>
          <w:bCs/>
          <w:color w:val="1A1A1A"/>
        </w:rPr>
        <w:t xml:space="preserve">Speeches, interviews, and public appearances. </w:t>
      </w:r>
      <w:r>
        <w:rPr>
          <w:color w:val="1A1A1A"/>
        </w:rPr>
        <w:t>Read every public statement carefully for language shifts. The move from 'working with industry' to 'holding industry to account' may seem semantic; it is not. These word choices reflect internal discussions about posture. Pay attention to who they cite approvingly — consumer groups, other regulators, international counterparts — because those relationships shape their thinking.</w:t>
      </w:r>
    </w:p>
    <w:p w14:paraId="40762D9C" w14:textId="0B529BBE" w:rsidR="009F78D9" w:rsidRDefault="00000000">
      <w:pPr>
        <w:pStyle w:val="ListParagraph"/>
        <w:numPr>
          <w:ilvl w:val="0"/>
          <w:numId w:val="2"/>
        </w:numPr>
        <w:spacing w:before="140" w:after="140"/>
      </w:pPr>
      <w:r>
        <w:rPr>
          <w:b/>
          <w:bCs/>
          <w:color w:val="1A1A1A"/>
        </w:rPr>
        <w:t xml:space="preserve">Staff changes within the regulatory body. </w:t>
      </w:r>
      <w:r>
        <w:rPr>
          <w:color w:val="1A1A1A"/>
        </w:rPr>
        <w:t>New leadership often brings new priorities</w:t>
      </w:r>
      <w:r w:rsidR="00FE315B">
        <w:rPr>
          <w:color w:val="1A1A1A"/>
        </w:rPr>
        <w:t>,</w:t>
      </w:r>
      <w:r>
        <w:rPr>
          <w:color w:val="1A1A1A"/>
        </w:rPr>
        <w:t xml:space="preserve"> partly by redeploying existing staff and partly by hiring with a different brief. If you start hearing that the enforcement team is expanding, or that a particular division is being elevated, adjust your compliance monitoring accordingly. A regulator that </w:t>
      </w:r>
      <w:r w:rsidR="00FE315B">
        <w:rPr>
          <w:color w:val="1A1A1A"/>
        </w:rPr>
        <w:t>is expanding its market oversight function plans</w:t>
      </w:r>
      <w:r>
        <w:rPr>
          <w:color w:val="1A1A1A"/>
        </w:rPr>
        <w:t xml:space="preserve"> to use it.</w:t>
      </w:r>
    </w:p>
    <w:p w14:paraId="10C080A2" w14:textId="77777777" w:rsidR="009F78D9" w:rsidRDefault="009F78D9">
      <w:pPr>
        <w:pBdr>
          <w:bottom w:val="single" w:sz="12" w:space="1" w:color="1B3A5C"/>
        </w:pBdr>
        <w:spacing w:before="60" w:after="200"/>
      </w:pPr>
    </w:p>
    <w:p w14:paraId="26856ADE" w14:textId="77777777" w:rsidR="00FE315B" w:rsidRDefault="00FE315B">
      <w:pPr>
        <w:spacing w:before="360" w:after="100"/>
        <w:rPr>
          <w:b/>
          <w:bCs/>
          <w:caps/>
          <w:color w:val="C9952B"/>
          <w:sz w:val="18"/>
          <w:szCs w:val="18"/>
        </w:rPr>
      </w:pPr>
    </w:p>
    <w:p w14:paraId="236B7A38" w14:textId="77777777" w:rsidR="00FE315B" w:rsidRDefault="00FE315B">
      <w:pPr>
        <w:spacing w:before="360" w:after="100"/>
        <w:rPr>
          <w:b/>
          <w:bCs/>
          <w:caps/>
          <w:color w:val="C9952B"/>
          <w:sz w:val="18"/>
          <w:szCs w:val="18"/>
        </w:rPr>
      </w:pPr>
    </w:p>
    <w:p w14:paraId="4474AF47" w14:textId="77777777" w:rsidR="00FE315B" w:rsidRDefault="00FE315B">
      <w:pPr>
        <w:spacing w:before="360" w:after="100"/>
        <w:rPr>
          <w:b/>
          <w:bCs/>
          <w:caps/>
          <w:color w:val="C9952B"/>
          <w:sz w:val="18"/>
          <w:szCs w:val="18"/>
        </w:rPr>
      </w:pPr>
    </w:p>
    <w:p w14:paraId="6328FE40" w14:textId="77777777" w:rsidR="00FE315B" w:rsidRDefault="00FE315B">
      <w:pPr>
        <w:spacing w:before="360" w:after="100"/>
        <w:rPr>
          <w:b/>
          <w:bCs/>
          <w:caps/>
          <w:color w:val="C9952B"/>
          <w:sz w:val="18"/>
          <w:szCs w:val="18"/>
        </w:rPr>
      </w:pPr>
    </w:p>
    <w:p w14:paraId="67E67CB3" w14:textId="77777777" w:rsidR="00FE315B" w:rsidRDefault="00FE315B">
      <w:pPr>
        <w:spacing w:before="360" w:after="100"/>
        <w:rPr>
          <w:b/>
          <w:bCs/>
          <w:caps/>
          <w:color w:val="C9952B"/>
          <w:sz w:val="18"/>
          <w:szCs w:val="18"/>
        </w:rPr>
      </w:pPr>
    </w:p>
    <w:p w14:paraId="1DF36AB4" w14:textId="77777777" w:rsidR="00FE315B" w:rsidRDefault="00FE315B">
      <w:pPr>
        <w:spacing w:before="360" w:after="100"/>
        <w:rPr>
          <w:b/>
          <w:bCs/>
          <w:caps/>
          <w:color w:val="C9952B"/>
          <w:sz w:val="18"/>
          <w:szCs w:val="18"/>
        </w:rPr>
      </w:pPr>
    </w:p>
    <w:p w14:paraId="2B630D9D" w14:textId="77777777" w:rsidR="00FE315B" w:rsidRDefault="00FE315B">
      <w:pPr>
        <w:spacing w:before="360" w:after="100"/>
        <w:rPr>
          <w:b/>
          <w:bCs/>
          <w:caps/>
          <w:color w:val="C9952B"/>
          <w:sz w:val="18"/>
          <w:szCs w:val="18"/>
        </w:rPr>
      </w:pPr>
    </w:p>
    <w:p w14:paraId="425F73E9" w14:textId="77777777" w:rsidR="00FE315B" w:rsidRDefault="00FE315B">
      <w:pPr>
        <w:spacing w:before="360" w:after="100"/>
        <w:rPr>
          <w:b/>
          <w:bCs/>
          <w:caps/>
          <w:color w:val="C9952B"/>
          <w:sz w:val="18"/>
          <w:szCs w:val="18"/>
        </w:rPr>
      </w:pPr>
    </w:p>
    <w:p w14:paraId="71D4C376" w14:textId="77777777" w:rsidR="00FE315B" w:rsidRDefault="00FE315B">
      <w:pPr>
        <w:spacing w:before="360" w:after="100"/>
        <w:rPr>
          <w:b/>
          <w:bCs/>
          <w:caps/>
          <w:color w:val="C9952B"/>
          <w:sz w:val="18"/>
          <w:szCs w:val="18"/>
        </w:rPr>
      </w:pPr>
    </w:p>
    <w:p w14:paraId="7272C675" w14:textId="77777777" w:rsidR="00FE315B" w:rsidRDefault="00FE315B">
      <w:pPr>
        <w:spacing w:before="360" w:after="100"/>
        <w:rPr>
          <w:b/>
          <w:bCs/>
          <w:caps/>
          <w:color w:val="C9952B"/>
          <w:sz w:val="18"/>
          <w:szCs w:val="18"/>
        </w:rPr>
      </w:pPr>
    </w:p>
    <w:p w14:paraId="44137ADA" w14:textId="0A5B7A62" w:rsidR="009F78D9" w:rsidRDefault="00000000">
      <w:pPr>
        <w:spacing w:before="360" w:after="100"/>
      </w:pPr>
      <w:r>
        <w:rPr>
          <w:b/>
          <w:bCs/>
          <w:caps/>
          <w:color w:val="C9952B"/>
          <w:sz w:val="18"/>
          <w:szCs w:val="18"/>
        </w:rPr>
        <w:t>Section Three</w:t>
      </w:r>
    </w:p>
    <w:p w14:paraId="3A5CD948" w14:textId="77777777" w:rsidR="009F78D9" w:rsidRDefault="00000000">
      <w:pPr>
        <w:spacing w:before="60" w:after="60"/>
      </w:pPr>
      <w:r>
        <w:rPr>
          <w:b/>
          <w:bCs/>
          <w:color w:val="1B3A5C"/>
          <w:sz w:val="30"/>
          <w:szCs w:val="30"/>
        </w:rPr>
        <w:t>Three questions to ask your compliance team this week</w:t>
      </w:r>
    </w:p>
    <w:p w14:paraId="17088210" w14:textId="77777777" w:rsidR="009F78D9" w:rsidRDefault="00000000">
      <w:pPr>
        <w:spacing w:before="80" w:after="240"/>
      </w:pPr>
      <w:r>
        <w:rPr>
          <w:i/>
          <w:iCs/>
          <w:color w:val="666666"/>
          <w:sz w:val="21"/>
          <w:szCs w:val="21"/>
        </w:rPr>
        <w:t>These are the questions that tell you whether your compliance function is managing this transition actively or simply hoping it will not affect them. Ask them plainly. The quality of the answer will tell you as much as the answer itself.</w:t>
      </w:r>
    </w:p>
    <w:p w14:paraId="3C7270A9" w14:textId="77777777" w:rsidR="009F78D9" w:rsidRDefault="00000000">
      <w:pPr>
        <w:spacing w:before="200" w:after="80"/>
      </w:pPr>
      <w:r>
        <w:rPr>
          <w:b/>
          <w:bCs/>
          <w:color w:val="C9952B"/>
        </w:rPr>
        <w:t xml:space="preserve">1.  </w:t>
      </w:r>
      <w:r>
        <w:rPr>
          <w:b/>
          <w:bCs/>
          <w:color w:val="1A1A1A"/>
        </w:rPr>
        <w:t>"If the new chief executive's team requested our supervisory file tomorrow, what would concern us?"</w:t>
      </w:r>
    </w:p>
    <w:p w14:paraId="0D58DCDD" w14:textId="77777777" w:rsidR="009F78D9" w:rsidRDefault="00000000">
      <w:pPr>
        <w:spacing w:after="160"/>
        <w:ind w:left="360"/>
      </w:pPr>
      <w:r>
        <w:rPr>
          <w:i/>
          <w:iCs/>
          <w:color w:val="666666"/>
          <w:sz w:val="21"/>
          <w:szCs w:val="21"/>
        </w:rPr>
        <w:t>You are not asking whether you are compliant in the abstract. You are asking your compliance team to put themselves in the position of a fresh set of eyes with no prior relationship with the business. If they cannot answer this quickly and specifically, that is itself an answer.</w:t>
      </w:r>
    </w:p>
    <w:p w14:paraId="251DB91E" w14:textId="77777777" w:rsidR="009F78D9" w:rsidRDefault="00000000">
      <w:pPr>
        <w:spacing w:before="200" w:after="80"/>
      </w:pPr>
      <w:r>
        <w:rPr>
          <w:b/>
          <w:bCs/>
          <w:color w:val="C9952B"/>
        </w:rPr>
        <w:t xml:space="preserve">2.  </w:t>
      </w:r>
      <w:r>
        <w:rPr>
          <w:b/>
          <w:bCs/>
          <w:color w:val="1A1A1A"/>
        </w:rPr>
        <w:t>"Which of our current compliance commitments are we behind on, and what is the realistic timeline to close them?"</w:t>
      </w:r>
    </w:p>
    <w:p w14:paraId="00537B89" w14:textId="2CFA6D7C" w:rsidR="009F78D9" w:rsidRDefault="00000000">
      <w:pPr>
        <w:spacing w:after="160"/>
        <w:ind w:left="360"/>
      </w:pPr>
      <w:r>
        <w:rPr>
          <w:i/>
          <w:iCs/>
          <w:color w:val="666666"/>
          <w:sz w:val="21"/>
          <w:szCs w:val="21"/>
        </w:rPr>
        <w:t xml:space="preserve">Every business has items on </w:t>
      </w:r>
      <w:r w:rsidR="00FE315B">
        <w:rPr>
          <w:i/>
          <w:iCs/>
          <w:color w:val="666666"/>
          <w:sz w:val="21"/>
          <w:szCs w:val="21"/>
        </w:rPr>
        <w:t>its compliance to-do list that have been deprioritised due to</w:t>
      </w:r>
      <w:r>
        <w:rPr>
          <w:i/>
          <w:iCs/>
          <w:color w:val="666666"/>
          <w:sz w:val="21"/>
          <w:szCs w:val="21"/>
        </w:rPr>
        <w:t xml:space="preserve"> operational pressure. You need an honest inventory right now, before a supervisory engagement surfaces them under circumstances where you have less control over the narrative.</w:t>
      </w:r>
    </w:p>
    <w:p w14:paraId="1DB6DCC3" w14:textId="77777777" w:rsidR="009F78D9" w:rsidRDefault="00000000">
      <w:pPr>
        <w:spacing w:before="200" w:after="80"/>
      </w:pPr>
      <w:r>
        <w:rPr>
          <w:b/>
          <w:bCs/>
          <w:color w:val="C9952B"/>
        </w:rPr>
        <w:t xml:space="preserve">3.  </w:t>
      </w:r>
      <w:r>
        <w:rPr>
          <w:b/>
          <w:bCs/>
          <w:color w:val="1A1A1A"/>
        </w:rPr>
        <w:t>"Do we have a documented point of view on how the new leadership's background and history might affect our regulatory risk profile?"</w:t>
      </w:r>
    </w:p>
    <w:p w14:paraId="0B3FDBD8" w14:textId="77777777" w:rsidR="009F78D9" w:rsidRDefault="00000000">
      <w:pPr>
        <w:spacing w:after="160"/>
        <w:ind w:left="360"/>
      </w:pPr>
      <w:r>
        <w:rPr>
          <w:i/>
          <w:iCs/>
          <w:color w:val="666666"/>
          <w:sz w:val="21"/>
          <w:szCs w:val="21"/>
        </w:rPr>
        <w:t>If your compliance team has not yet researched the incoming chief executive, their previous roles, public statements, and professional priorities, they should do so this week. Regulatory risk is not abstract. It is shaped by individuals, and you should know who you are dealing with.</w:t>
      </w:r>
    </w:p>
    <w:p w14:paraId="2BE19568" w14:textId="77777777" w:rsidR="009F78D9" w:rsidRDefault="009F78D9">
      <w:pPr>
        <w:pBdr>
          <w:bottom w:val="single" w:sz="12" w:space="1" w:color="C9952B"/>
        </w:pBdr>
        <w:spacing w:before="60" w:after="200"/>
      </w:pPr>
    </w:p>
    <w:p w14:paraId="082D8981" w14:textId="77777777" w:rsidR="009F78D9" w:rsidRDefault="00000000">
      <w:pPr>
        <w:spacing w:before="80" w:after="80"/>
      </w:pPr>
      <w:r>
        <w:rPr>
          <w:b/>
          <w:bCs/>
          <w:color w:val="1B3A5C"/>
          <w:sz w:val="20"/>
          <w:szCs w:val="20"/>
        </w:rPr>
        <w:t>A note from Kate</w:t>
      </w:r>
    </w:p>
    <w:p w14:paraId="5600E1B8" w14:textId="2B3EA084" w:rsidR="009F78D9" w:rsidRDefault="00000000">
      <w:pPr>
        <w:spacing w:after="200"/>
      </w:pPr>
      <w:r>
        <w:rPr>
          <w:i/>
          <w:iCs/>
          <w:color w:val="666666"/>
          <w:sz w:val="20"/>
          <w:szCs w:val="20"/>
        </w:rPr>
        <w:t xml:space="preserve">Regulatory transitions are </w:t>
      </w:r>
      <w:r w:rsidR="00FE315B">
        <w:rPr>
          <w:i/>
          <w:iCs/>
          <w:color w:val="666666"/>
          <w:sz w:val="20"/>
          <w:szCs w:val="20"/>
        </w:rPr>
        <w:t>moments when</w:t>
      </w:r>
      <w:r>
        <w:rPr>
          <w:i/>
          <w:iCs/>
          <w:color w:val="666666"/>
          <w:sz w:val="20"/>
          <w:szCs w:val="20"/>
        </w:rPr>
        <w:t xml:space="preserve"> the operators who do the boring, disciplined work in advance end up in a much stronger position than those who scramble when scrutiny arrives. The relationship with your regulator resets when leadership changes. This is your window to demonstrate that you are a business that takes its obligations seriously and engages in good faith. Use it.</w:t>
      </w:r>
    </w:p>
    <w:p w14:paraId="7AE03119" w14:textId="77777777" w:rsidR="009F78D9" w:rsidRDefault="00000000">
      <w:r>
        <w:rPr>
          <w:color w:val="666666"/>
          <w:sz w:val="18"/>
          <w:szCs w:val="18"/>
        </w:rPr>
        <w:t>Kate Chambers  |  Founder, The Gaming Boardroom  |  thegamingboardroom.com</w:t>
      </w:r>
    </w:p>
    <w:sectPr w:rsidR="009F78D9">
      <w:pgSz w:w="11906" w:h="16838"/>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D05D5"/>
    <w:multiLevelType w:val="hybridMultilevel"/>
    <w:tmpl w:val="FBB868C0"/>
    <w:lvl w:ilvl="0" w:tplc="05B2EC30">
      <w:start w:val="1"/>
      <w:numFmt w:val="decimal"/>
      <w:lvlText w:val="%1."/>
      <w:lvlJc w:val="left"/>
      <w:pPr>
        <w:ind w:left="540" w:hanging="360"/>
      </w:pPr>
    </w:lvl>
    <w:lvl w:ilvl="1" w:tplc="8F52E036">
      <w:numFmt w:val="decimal"/>
      <w:lvlText w:val=""/>
      <w:lvlJc w:val="left"/>
    </w:lvl>
    <w:lvl w:ilvl="2" w:tplc="F3AE24E0">
      <w:numFmt w:val="decimal"/>
      <w:lvlText w:val=""/>
      <w:lvlJc w:val="left"/>
    </w:lvl>
    <w:lvl w:ilvl="3" w:tplc="F6EC3C28">
      <w:numFmt w:val="decimal"/>
      <w:lvlText w:val=""/>
      <w:lvlJc w:val="left"/>
    </w:lvl>
    <w:lvl w:ilvl="4" w:tplc="287A4F32">
      <w:numFmt w:val="decimal"/>
      <w:lvlText w:val=""/>
      <w:lvlJc w:val="left"/>
    </w:lvl>
    <w:lvl w:ilvl="5" w:tplc="AC46A598">
      <w:numFmt w:val="decimal"/>
      <w:lvlText w:val=""/>
      <w:lvlJc w:val="left"/>
    </w:lvl>
    <w:lvl w:ilvl="6" w:tplc="60A62A2C">
      <w:numFmt w:val="decimal"/>
      <w:lvlText w:val=""/>
      <w:lvlJc w:val="left"/>
    </w:lvl>
    <w:lvl w:ilvl="7" w:tplc="21F4E1BA">
      <w:numFmt w:val="decimal"/>
      <w:lvlText w:val=""/>
      <w:lvlJc w:val="left"/>
    </w:lvl>
    <w:lvl w:ilvl="8" w:tplc="393E4D70">
      <w:numFmt w:val="decimal"/>
      <w:lvlText w:val=""/>
      <w:lvlJc w:val="left"/>
    </w:lvl>
  </w:abstractNum>
  <w:abstractNum w:abstractNumId="1" w15:restartNumberingAfterBreak="0">
    <w:nsid w:val="6F89212D"/>
    <w:multiLevelType w:val="hybridMultilevel"/>
    <w:tmpl w:val="E364FAF8"/>
    <w:lvl w:ilvl="0" w:tplc="A70C189A">
      <w:start w:val="1"/>
      <w:numFmt w:val="bullet"/>
      <w:lvlText w:val="●"/>
      <w:lvlJc w:val="left"/>
      <w:pPr>
        <w:ind w:left="720" w:hanging="360"/>
      </w:pPr>
    </w:lvl>
    <w:lvl w:ilvl="1" w:tplc="4E126CE4">
      <w:start w:val="1"/>
      <w:numFmt w:val="bullet"/>
      <w:lvlText w:val="○"/>
      <w:lvlJc w:val="left"/>
      <w:pPr>
        <w:ind w:left="1440" w:hanging="360"/>
      </w:pPr>
    </w:lvl>
    <w:lvl w:ilvl="2" w:tplc="C61E1972">
      <w:start w:val="1"/>
      <w:numFmt w:val="bullet"/>
      <w:lvlText w:val="■"/>
      <w:lvlJc w:val="left"/>
      <w:pPr>
        <w:ind w:left="2160" w:hanging="360"/>
      </w:pPr>
    </w:lvl>
    <w:lvl w:ilvl="3" w:tplc="A3B83C40">
      <w:start w:val="1"/>
      <w:numFmt w:val="bullet"/>
      <w:lvlText w:val="●"/>
      <w:lvlJc w:val="left"/>
      <w:pPr>
        <w:ind w:left="2880" w:hanging="360"/>
      </w:pPr>
    </w:lvl>
    <w:lvl w:ilvl="4" w:tplc="B5B204FE">
      <w:start w:val="1"/>
      <w:numFmt w:val="bullet"/>
      <w:lvlText w:val="○"/>
      <w:lvlJc w:val="left"/>
      <w:pPr>
        <w:ind w:left="3600" w:hanging="360"/>
      </w:pPr>
    </w:lvl>
    <w:lvl w:ilvl="5" w:tplc="D844260C">
      <w:start w:val="1"/>
      <w:numFmt w:val="bullet"/>
      <w:lvlText w:val="■"/>
      <w:lvlJc w:val="left"/>
      <w:pPr>
        <w:ind w:left="4320" w:hanging="360"/>
      </w:pPr>
    </w:lvl>
    <w:lvl w:ilvl="6" w:tplc="1B6C542E">
      <w:start w:val="1"/>
      <w:numFmt w:val="bullet"/>
      <w:lvlText w:val="●"/>
      <w:lvlJc w:val="left"/>
      <w:pPr>
        <w:ind w:left="5040" w:hanging="360"/>
      </w:pPr>
    </w:lvl>
    <w:lvl w:ilvl="7" w:tplc="E954DD5E">
      <w:start w:val="1"/>
      <w:numFmt w:val="bullet"/>
      <w:lvlText w:val="●"/>
      <w:lvlJc w:val="left"/>
      <w:pPr>
        <w:ind w:left="5760" w:hanging="360"/>
      </w:pPr>
    </w:lvl>
    <w:lvl w:ilvl="8" w:tplc="0050652E">
      <w:start w:val="1"/>
      <w:numFmt w:val="bullet"/>
      <w:lvlText w:val="●"/>
      <w:lvlJc w:val="left"/>
      <w:pPr>
        <w:ind w:left="6480" w:hanging="360"/>
      </w:pPr>
    </w:lvl>
  </w:abstractNum>
  <w:num w:numId="1" w16cid:durableId="1310597971">
    <w:abstractNumId w:val="1"/>
    <w:lvlOverride w:ilvl="0">
      <w:startOverride w:val="1"/>
    </w:lvlOverride>
  </w:num>
  <w:num w:numId="2" w16cid:durableId="7754411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8D9"/>
    <w:rsid w:val="002F6EA9"/>
    <w:rsid w:val="009F78D9"/>
    <w:rsid w:val="00FE3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72FE"/>
  <w15:docId w15:val="{93D409D8-2D94-4F60-9286-7A30F2BB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1054</Words>
  <Characters>6010</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Kate Chambers</cp:lastModifiedBy>
  <cp:revision>2</cp:revision>
  <dcterms:created xsi:type="dcterms:W3CDTF">2026-02-24T12:11:00Z</dcterms:created>
  <dcterms:modified xsi:type="dcterms:W3CDTF">2026-02-24T12:11:00Z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3599c560-c98e-4673-a1e4-bf48d8af9bf9</vt:lpwstr>
  </property>
</Properties>
</file>